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552D" w14:textId="6C31D170" w:rsidR="00B26CAC" w:rsidRDefault="00B26CAC">
      <w:r w:rsidRPr="008034BD">
        <w:t>TISKOVÁ ZPRÁVA</w:t>
      </w:r>
    </w:p>
    <w:p w14:paraId="5DFAA6FA" w14:textId="2EBB430A" w:rsidR="00B21ADE" w:rsidRPr="005569C9" w:rsidRDefault="004422B1" w:rsidP="00C472B3">
      <w:pPr>
        <w:spacing w:after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Elektroenergetické datové centrum </w:t>
      </w:r>
      <w:r w:rsidR="00C50FF2">
        <w:rPr>
          <w:b/>
          <w:bCs/>
          <w:sz w:val="32"/>
          <w:szCs w:val="32"/>
        </w:rPr>
        <w:t>vstupuje do další fáze</w:t>
      </w:r>
      <w:r w:rsidR="00BB1196">
        <w:rPr>
          <w:b/>
          <w:bCs/>
          <w:sz w:val="32"/>
          <w:szCs w:val="32"/>
        </w:rPr>
        <w:t xml:space="preserve"> modernizace české energetiky</w:t>
      </w:r>
      <w:r w:rsidR="004D57B3">
        <w:rPr>
          <w:b/>
          <w:bCs/>
          <w:sz w:val="32"/>
          <w:szCs w:val="32"/>
        </w:rPr>
        <w:t xml:space="preserve"> a mění </w:t>
      </w:r>
      <w:r w:rsidR="00051E98">
        <w:rPr>
          <w:b/>
          <w:bCs/>
          <w:sz w:val="32"/>
          <w:szCs w:val="32"/>
        </w:rPr>
        <w:t>představenstvo</w:t>
      </w:r>
    </w:p>
    <w:p w14:paraId="1E5B1659" w14:textId="54C81DE6" w:rsidR="00D145AA" w:rsidRPr="00C81760" w:rsidRDefault="00C81760">
      <w:pPr>
        <w:pStyle w:val="Odstavecseseznamem"/>
        <w:numPr>
          <w:ilvl w:val="0"/>
          <w:numId w:val="4"/>
        </w:numPr>
        <w:spacing w:line="264" w:lineRule="auto"/>
        <w:rPr>
          <w:b/>
          <w:bCs/>
          <w:color w:val="000000" w:themeColor="text1"/>
          <w:sz w:val="24"/>
          <w:szCs w:val="24"/>
        </w:rPr>
      </w:pPr>
      <w:r w:rsidRPr="00C81760">
        <w:rPr>
          <w:b/>
          <w:bCs/>
          <w:color w:val="000000" w:themeColor="text1"/>
          <w:sz w:val="24"/>
          <w:szCs w:val="24"/>
        </w:rPr>
        <w:t>Nové funkce přispějí ke zvýšení stability elektrizační soustavy</w:t>
      </w:r>
    </w:p>
    <w:p w14:paraId="1B6B7C3F" w14:textId="500BADC2" w:rsidR="00202F71" w:rsidRPr="00C81760" w:rsidRDefault="00C81760">
      <w:pPr>
        <w:pStyle w:val="Odstavecseseznamem"/>
        <w:numPr>
          <w:ilvl w:val="0"/>
          <w:numId w:val="4"/>
        </w:numPr>
        <w:spacing w:line="264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O sdílení elektřiny mají zájem města i velké firmy, EDC eviduje již více než 100 </w:t>
      </w:r>
      <w:r w:rsidRPr="00C81760">
        <w:rPr>
          <w:b/>
          <w:bCs/>
          <w:color w:val="000000" w:themeColor="text1"/>
          <w:sz w:val="24"/>
          <w:szCs w:val="24"/>
        </w:rPr>
        <w:t>energetických společenství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C81760">
        <w:rPr>
          <w:b/>
          <w:bCs/>
          <w:color w:val="000000" w:themeColor="text1"/>
          <w:sz w:val="24"/>
          <w:szCs w:val="24"/>
        </w:rPr>
        <w:t xml:space="preserve"> </w:t>
      </w:r>
    </w:p>
    <w:p w14:paraId="39AC1229" w14:textId="093F68FB" w:rsidR="000155E8" w:rsidRPr="00BF406C" w:rsidRDefault="005F62DE" w:rsidP="000155E8">
      <w:pPr>
        <w:rPr>
          <w:sz w:val="24"/>
          <w:szCs w:val="24"/>
        </w:rPr>
      </w:pPr>
      <w:r w:rsidRPr="007A064D">
        <w:rPr>
          <w:b/>
          <w:bCs/>
          <w:sz w:val="24"/>
          <w:szCs w:val="24"/>
        </w:rPr>
        <w:t xml:space="preserve">Praha </w:t>
      </w:r>
      <w:r w:rsidR="006979D8" w:rsidRPr="00BF406C">
        <w:rPr>
          <w:b/>
          <w:bCs/>
          <w:sz w:val="24"/>
          <w:szCs w:val="24"/>
        </w:rPr>
        <w:t>1</w:t>
      </w:r>
      <w:r w:rsidR="003669A0" w:rsidRPr="00BF406C">
        <w:rPr>
          <w:b/>
          <w:bCs/>
          <w:sz w:val="24"/>
          <w:szCs w:val="24"/>
        </w:rPr>
        <w:t>.</w:t>
      </w:r>
      <w:r w:rsidRPr="00BF406C">
        <w:rPr>
          <w:b/>
          <w:bCs/>
          <w:sz w:val="24"/>
          <w:szCs w:val="24"/>
        </w:rPr>
        <w:t xml:space="preserve"> </w:t>
      </w:r>
      <w:r w:rsidR="00590991" w:rsidRPr="00BF406C">
        <w:rPr>
          <w:b/>
          <w:bCs/>
          <w:sz w:val="24"/>
          <w:szCs w:val="24"/>
        </w:rPr>
        <w:t>dubna</w:t>
      </w:r>
      <w:r w:rsidR="00E8479F" w:rsidRPr="00BF406C">
        <w:rPr>
          <w:b/>
          <w:bCs/>
          <w:sz w:val="24"/>
          <w:szCs w:val="24"/>
        </w:rPr>
        <w:t xml:space="preserve"> </w:t>
      </w:r>
      <w:r w:rsidRPr="00BF406C">
        <w:rPr>
          <w:b/>
          <w:bCs/>
          <w:sz w:val="24"/>
          <w:szCs w:val="24"/>
        </w:rPr>
        <w:t>202</w:t>
      </w:r>
      <w:r w:rsidR="00E8479F" w:rsidRPr="00BF406C">
        <w:rPr>
          <w:b/>
          <w:bCs/>
          <w:sz w:val="24"/>
          <w:szCs w:val="24"/>
        </w:rPr>
        <w:t>6</w:t>
      </w:r>
      <w:r w:rsidRPr="00BF406C">
        <w:rPr>
          <w:sz w:val="24"/>
          <w:szCs w:val="24"/>
        </w:rPr>
        <w:t xml:space="preserve"> –</w:t>
      </w:r>
      <w:r w:rsidR="0093790C" w:rsidRPr="00BF406C">
        <w:rPr>
          <w:sz w:val="24"/>
          <w:szCs w:val="24"/>
        </w:rPr>
        <w:t xml:space="preserve"> </w:t>
      </w:r>
      <w:r w:rsidR="00C35364" w:rsidRPr="00BF406C">
        <w:rPr>
          <w:sz w:val="24"/>
          <w:szCs w:val="24"/>
        </w:rPr>
        <w:t>Elektroenergetické datové centrum (EDC) od 1. srpna spustí služby s</w:t>
      </w:r>
      <w:r w:rsidR="00183CF7" w:rsidRPr="00BF406C">
        <w:rPr>
          <w:sz w:val="24"/>
          <w:szCs w:val="24"/>
        </w:rPr>
        <w:t>pojené</w:t>
      </w:r>
      <w:r w:rsidR="00C35364" w:rsidRPr="00BF406C">
        <w:rPr>
          <w:sz w:val="24"/>
          <w:szCs w:val="24"/>
        </w:rPr>
        <w:t xml:space="preserve"> s akumulací energie, agregací technické flexibility a </w:t>
      </w:r>
      <w:r w:rsidR="00183CF7" w:rsidRPr="00BF406C">
        <w:rPr>
          <w:sz w:val="24"/>
          <w:szCs w:val="24"/>
        </w:rPr>
        <w:t xml:space="preserve">s </w:t>
      </w:r>
      <w:r w:rsidR="00C35364" w:rsidRPr="00BF406C">
        <w:rPr>
          <w:sz w:val="24"/>
          <w:szCs w:val="24"/>
        </w:rPr>
        <w:t>funkc</w:t>
      </w:r>
      <w:r w:rsidR="00183CF7" w:rsidRPr="00BF406C">
        <w:rPr>
          <w:sz w:val="24"/>
          <w:szCs w:val="24"/>
        </w:rPr>
        <w:t>í</w:t>
      </w:r>
      <w:r w:rsidR="00C35364" w:rsidRPr="00BF406C">
        <w:rPr>
          <w:sz w:val="24"/>
          <w:szCs w:val="24"/>
        </w:rPr>
        <w:t xml:space="preserve"> tzv. síťového semaforu. </w:t>
      </w:r>
      <w:r w:rsidR="00183CF7" w:rsidRPr="00BF406C">
        <w:rPr>
          <w:sz w:val="24"/>
          <w:szCs w:val="24"/>
        </w:rPr>
        <w:t>Zahájí</w:t>
      </w:r>
      <w:r w:rsidR="00C35364" w:rsidRPr="00BF406C">
        <w:rPr>
          <w:sz w:val="24"/>
          <w:szCs w:val="24"/>
        </w:rPr>
        <w:t xml:space="preserve"> tak </w:t>
      </w:r>
      <w:r w:rsidR="00667308" w:rsidRPr="00BF406C">
        <w:rPr>
          <w:sz w:val="24"/>
          <w:szCs w:val="24"/>
        </w:rPr>
        <w:t>novou</w:t>
      </w:r>
      <w:r w:rsidR="00C35364" w:rsidRPr="00BF406C">
        <w:rPr>
          <w:sz w:val="24"/>
          <w:szCs w:val="24"/>
        </w:rPr>
        <w:t xml:space="preserve"> kapitolu </w:t>
      </w:r>
      <w:r w:rsidR="00183CF7" w:rsidRPr="00BF406C">
        <w:rPr>
          <w:sz w:val="24"/>
          <w:szCs w:val="24"/>
        </w:rPr>
        <w:t xml:space="preserve">své existence poté, co se úspěšně etablovalo jako mozek chytré energetiky a </w:t>
      </w:r>
      <w:r w:rsidR="00C35364" w:rsidRPr="00BF406C">
        <w:rPr>
          <w:sz w:val="24"/>
          <w:szCs w:val="24"/>
        </w:rPr>
        <w:t>poskytovatel podpory pro sdílení elektřiny</w:t>
      </w:r>
      <w:r w:rsidR="00986561" w:rsidRPr="00BF406C">
        <w:rPr>
          <w:sz w:val="24"/>
          <w:szCs w:val="24"/>
        </w:rPr>
        <w:t xml:space="preserve"> v ČR</w:t>
      </w:r>
      <w:r w:rsidR="00C35364" w:rsidRPr="00BF406C">
        <w:rPr>
          <w:sz w:val="24"/>
          <w:szCs w:val="24"/>
        </w:rPr>
        <w:t xml:space="preserve">. </w:t>
      </w:r>
      <w:r w:rsidR="00667308" w:rsidRPr="00BF406C">
        <w:rPr>
          <w:sz w:val="24"/>
          <w:szCs w:val="24"/>
        </w:rPr>
        <w:t>Do další fáze vstoupí s novým vedením</w:t>
      </w:r>
      <w:r w:rsidR="00986561" w:rsidRPr="00BF406C">
        <w:rPr>
          <w:sz w:val="24"/>
          <w:szCs w:val="24"/>
        </w:rPr>
        <w:t xml:space="preserve"> a </w:t>
      </w:r>
      <w:r w:rsidR="00060482" w:rsidRPr="00BF406C">
        <w:rPr>
          <w:sz w:val="24"/>
          <w:szCs w:val="24"/>
        </w:rPr>
        <w:t>s cílem</w:t>
      </w:r>
      <w:r w:rsidR="00986561" w:rsidRPr="00BF406C">
        <w:rPr>
          <w:sz w:val="24"/>
          <w:szCs w:val="24"/>
        </w:rPr>
        <w:t xml:space="preserve"> dokonč</w:t>
      </w:r>
      <w:r w:rsidR="00060482" w:rsidRPr="00BF406C">
        <w:rPr>
          <w:sz w:val="24"/>
          <w:szCs w:val="24"/>
        </w:rPr>
        <w:t>it</w:t>
      </w:r>
      <w:r w:rsidR="00986561" w:rsidRPr="00BF406C">
        <w:rPr>
          <w:sz w:val="24"/>
          <w:szCs w:val="24"/>
        </w:rPr>
        <w:t xml:space="preserve"> </w:t>
      </w:r>
      <w:r w:rsidR="00060482" w:rsidRPr="00BF406C">
        <w:rPr>
          <w:sz w:val="24"/>
          <w:szCs w:val="24"/>
        </w:rPr>
        <w:t xml:space="preserve">a uvést do provozu </w:t>
      </w:r>
      <w:r w:rsidR="00986561" w:rsidRPr="00BF406C">
        <w:rPr>
          <w:sz w:val="24"/>
          <w:szCs w:val="24"/>
        </w:rPr>
        <w:t>IT projekt</w:t>
      </w:r>
      <w:r w:rsidR="00060482" w:rsidRPr="00BF406C">
        <w:rPr>
          <w:sz w:val="24"/>
          <w:szCs w:val="24"/>
        </w:rPr>
        <w:t>y</w:t>
      </w:r>
      <w:r w:rsidR="00986561" w:rsidRPr="00BF406C">
        <w:rPr>
          <w:sz w:val="24"/>
          <w:szCs w:val="24"/>
        </w:rPr>
        <w:t xml:space="preserve">, které jsou klíčové pro řízení energetiky. </w:t>
      </w:r>
      <w:r w:rsidR="000155E8" w:rsidRPr="00BF406C">
        <w:rPr>
          <w:sz w:val="24"/>
          <w:szCs w:val="24"/>
        </w:rPr>
        <w:t xml:space="preserve">Valná hromada akcionářů </w:t>
      </w:r>
      <w:r w:rsidR="00060482" w:rsidRPr="00BF406C">
        <w:rPr>
          <w:sz w:val="24"/>
          <w:szCs w:val="24"/>
        </w:rPr>
        <w:t>v této souvislosti odvolala dosavadní členy představenstva. Je</w:t>
      </w:r>
      <w:r w:rsidR="00E80A1C" w:rsidRPr="00BF406C">
        <w:rPr>
          <w:sz w:val="24"/>
          <w:szCs w:val="24"/>
        </w:rPr>
        <w:t>ho je</w:t>
      </w:r>
      <w:r w:rsidR="00060482" w:rsidRPr="00BF406C">
        <w:rPr>
          <w:sz w:val="24"/>
          <w:szCs w:val="24"/>
        </w:rPr>
        <w:t xml:space="preserve">diným novým členem jmenovala </w:t>
      </w:r>
      <w:r w:rsidR="00AB469C" w:rsidRPr="00BF406C">
        <w:rPr>
          <w:sz w:val="24"/>
          <w:szCs w:val="24"/>
        </w:rPr>
        <w:t xml:space="preserve">k 1. dubnu </w:t>
      </w:r>
      <w:r w:rsidR="00060482" w:rsidRPr="00BF406C">
        <w:rPr>
          <w:sz w:val="24"/>
          <w:szCs w:val="24"/>
        </w:rPr>
        <w:t xml:space="preserve">Pavla </w:t>
      </w:r>
      <w:proofErr w:type="spellStart"/>
      <w:r w:rsidR="00060482" w:rsidRPr="00BF406C">
        <w:rPr>
          <w:sz w:val="24"/>
          <w:szCs w:val="24"/>
        </w:rPr>
        <w:t>Šundu</w:t>
      </w:r>
      <w:proofErr w:type="spellEnd"/>
      <w:r w:rsidR="00060482" w:rsidRPr="00BF406C">
        <w:rPr>
          <w:sz w:val="24"/>
          <w:szCs w:val="24"/>
        </w:rPr>
        <w:t xml:space="preserve">. </w:t>
      </w:r>
      <w:r w:rsidR="00CA49FE" w:rsidRPr="00BF406C">
        <w:rPr>
          <w:sz w:val="24"/>
          <w:szCs w:val="24"/>
        </w:rPr>
        <w:t>Ve funkci výkonného ředitele</w:t>
      </w:r>
      <w:r w:rsidR="00590991" w:rsidRPr="00BF406C">
        <w:rPr>
          <w:sz w:val="24"/>
          <w:szCs w:val="24"/>
        </w:rPr>
        <w:t xml:space="preserve"> zůstává </w:t>
      </w:r>
      <w:r w:rsidR="00CA49FE" w:rsidRPr="00BF406C">
        <w:rPr>
          <w:sz w:val="24"/>
          <w:szCs w:val="24"/>
        </w:rPr>
        <w:t>Petr Kusý</w:t>
      </w:r>
      <w:r w:rsidR="00060482" w:rsidRPr="00BF406C">
        <w:rPr>
          <w:sz w:val="24"/>
          <w:szCs w:val="24"/>
        </w:rPr>
        <w:t>, který se bude i n</w:t>
      </w:r>
      <w:r w:rsidR="00590991" w:rsidRPr="00BF406C">
        <w:rPr>
          <w:sz w:val="24"/>
          <w:szCs w:val="24"/>
        </w:rPr>
        <w:t>adále věnovat provoznímu řízení společnosti.</w:t>
      </w:r>
      <w:r w:rsidR="000155E8" w:rsidRPr="00BF406C">
        <w:rPr>
          <w:sz w:val="24"/>
          <w:szCs w:val="24"/>
        </w:rPr>
        <w:t xml:space="preserve"> </w:t>
      </w:r>
    </w:p>
    <w:p w14:paraId="562F1440" w14:textId="6516B538" w:rsidR="004D096B" w:rsidRDefault="00962DB9" w:rsidP="00A048D3">
      <w:pPr>
        <w:rPr>
          <w:sz w:val="24"/>
          <w:szCs w:val="24"/>
        </w:rPr>
      </w:pPr>
      <w:r w:rsidRPr="00BF406C">
        <w:rPr>
          <w:sz w:val="24"/>
          <w:szCs w:val="24"/>
        </w:rPr>
        <w:t>Pav</w:t>
      </w:r>
      <w:r w:rsidR="00060482" w:rsidRPr="00BF406C">
        <w:rPr>
          <w:sz w:val="24"/>
          <w:szCs w:val="24"/>
        </w:rPr>
        <w:t>e</w:t>
      </w:r>
      <w:r w:rsidRPr="00BF406C">
        <w:rPr>
          <w:sz w:val="24"/>
          <w:szCs w:val="24"/>
        </w:rPr>
        <w:t xml:space="preserve">l </w:t>
      </w:r>
      <w:proofErr w:type="spellStart"/>
      <w:r w:rsidRPr="00BF406C">
        <w:rPr>
          <w:sz w:val="24"/>
          <w:szCs w:val="24"/>
        </w:rPr>
        <w:t>Šund</w:t>
      </w:r>
      <w:r w:rsidR="00060482" w:rsidRPr="00BF406C">
        <w:rPr>
          <w:sz w:val="24"/>
          <w:szCs w:val="24"/>
        </w:rPr>
        <w:t>a</w:t>
      </w:r>
      <w:proofErr w:type="spellEnd"/>
      <w:r w:rsidRPr="00BF406C">
        <w:rPr>
          <w:sz w:val="24"/>
          <w:szCs w:val="24"/>
        </w:rPr>
        <w:t xml:space="preserve"> </w:t>
      </w:r>
      <w:r w:rsidR="00666C00" w:rsidRPr="00BF406C">
        <w:rPr>
          <w:sz w:val="24"/>
          <w:szCs w:val="24"/>
        </w:rPr>
        <w:t xml:space="preserve">se </w:t>
      </w:r>
      <w:r w:rsidR="00060482" w:rsidRPr="00BF406C">
        <w:rPr>
          <w:sz w:val="24"/>
          <w:szCs w:val="24"/>
        </w:rPr>
        <w:t xml:space="preserve">v </w:t>
      </w:r>
      <w:r w:rsidR="00666C00" w:rsidRPr="00BF406C">
        <w:rPr>
          <w:sz w:val="24"/>
          <w:szCs w:val="24"/>
        </w:rPr>
        <w:t>EDC zaměř</w:t>
      </w:r>
      <w:r w:rsidRPr="00BF406C">
        <w:rPr>
          <w:sz w:val="24"/>
          <w:szCs w:val="24"/>
        </w:rPr>
        <w:t>í</w:t>
      </w:r>
      <w:r w:rsidR="00666C00" w:rsidRPr="00BF406C">
        <w:rPr>
          <w:sz w:val="24"/>
          <w:szCs w:val="24"/>
        </w:rPr>
        <w:t xml:space="preserve"> na IT stránku nových funkcionalit, jejich spuštění v</w:t>
      </w:r>
      <w:r w:rsidR="00F27E3B" w:rsidRPr="00BF406C">
        <w:rPr>
          <w:sz w:val="24"/>
          <w:szCs w:val="24"/>
        </w:rPr>
        <w:t> </w:t>
      </w:r>
      <w:r w:rsidR="00666C00" w:rsidRPr="00BF406C">
        <w:rPr>
          <w:sz w:val="24"/>
          <w:szCs w:val="24"/>
        </w:rPr>
        <w:t>létě</w:t>
      </w:r>
      <w:r w:rsidR="00F27E3B" w:rsidRPr="00BF406C">
        <w:rPr>
          <w:sz w:val="24"/>
          <w:szCs w:val="24"/>
        </w:rPr>
        <w:t xml:space="preserve"> tohoto roku a další </w:t>
      </w:r>
      <w:r w:rsidR="00666C00" w:rsidRPr="00BF406C">
        <w:rPr>
          <w:sz w:val="24"/>
          <w:szCs w:val="24"/>
        </w:rPr>
        <w:t>rozvoj</w:t>
      </w:r>
      <w:r w:rsidR="00F27E3B" w:rsidRPr="00BF406C">
        <w:rPr>
          <w:sz w:val="24"/>
          <w:szCs w:val="24"/>
        </w:rPr>
        <w:t xml:space="preserve"> v rámci české energetiky. </w:t>
      </w:r>
      <w:r w:rsidR="00F27E3B" w:rsidRPr="00BF406C">
        <w:rPr>
          <w:i/>
          <w:iCs/>
          <w:sz w:val="24"/>
          <w:szCs w:val="24"/>
        </w:rPr>
        <w:t>„Jen</w:t>
      </w:r>
      <w:r w:rsidR="00F27E3B">
        <w:rPr>
          <w:i/>
          <w:iCs/>
          <w:sz w:val="24"/>
          <w:szCs w:val="24"/>
        </w:rPr>
        <w:t xml:space="preserve"> v souvislosti se sdílením elektřiny zpracováváme </w:t>
      </w:r>
      <w:r w:rsidR="004D096B">
        <w:rPr>
          <w:i/>
          <w:iCs/>
          <w:sz w:val="24"/>
          <w:szCs w:val="24"/>
        </w:rPr>
        <w:t xml:space="preserve">již </w:t>
      </w:r>
      <w:r w:rsidR="00E37D2A">
        <w:rPr>
          <w:i/>
          <w:iCs/>
          <w:sz w:val="24"/>
          <w:szCs w:val="24"/>
        </w:rPr>
        <w:t>nyní</w:t>
      </w:r>
      <w:r w:rsidR="004D096B">
        <w:rPr>
          <w:i/>
          <w:iCs/>
          <w:sz w:val="24"/>
          <w:szCs w:val="24"/>
        </w:rPr>
        <w:t xml:space="preserve"> </w:t>
      </w:r>
      <w:r w:rsidR="00F27E3B">
        <w:rPr>
          <w:i/>
          <w:iCs/>
          <w:sz w:val="24"/>
          <w:szCs w:val="24"/>
        </w:rPr>
        <w:t xml:space="preserve">každý měsíc </w:t>
      </w:r>
      <w:r w:rsidR="004343C0">
        <w:rPr>
          <w:i/>
          <w:iCs/>
          <w:sz w:val="24"/>
          <w:szCs w:val="24"/>
        </w:rPr>
        <w:t>velké množství</w:t>
      </w:r>
      <w:r w:rsidR="00F27E3B" w:rsidRPr="00775DD0">
        <w:rPr>
          <w:i/>
          <w:iCs/>
          <w:sz w:val="24"/>
          <w:szCs w:val="24"/>
        </w:rPr>
        <w:t xml:space="preserve"> dat</w:t>
      </w:r>
      <w:r w:rsidR="00F27E3B">
        <w:rPr>
          <w:i/>
          <w:iCs/>
          <w:sz w:val="24"/>
          <w:szCs w:val="24"/>
        </w:rPr>
        <w:t xml:space="preserve"> z průběhov</w:t>
      </w:r>
      <w:r>
        <w:rPr>
          <w:i/>
          <w:iCs/>
          <w:sz w:val="24"/>
          <w:szCs w:val="24"/>
        </w:rPr>
        <w:t>ého</w:t>
      </w:r>
      <w:r w:rsidR="00F27E3B">
        <w:rPr>
          <w:i/>
          <w:iCs/>
          <w:sz w:val="24"/>
          <w:szCs w:val="24"/>
        </w:rPr>
        <w:t xml:space="preserve"> měř</w:t>
      </w:r>
      <w:r>
        <w:rPr>
          <w:i/>
          <w:iCs/>
          <w:sz w:val="24"/>
          <w:szCs w:val="24"/>
        </w:rPr>
        <w:t>ení u</w:t>
      </w:r>
      <w:r w:rsidR="00F27E3B">
        <w:rPr>
          <w:i/>
          <w:iCs/>
          <w:sz w:val="24"/>
          <w:szCs w:val="24"/>
        </w:rPr>
        <w:t xml:space="preserve"> účastníků. S</w:t>
      </w:r>
      <w:r>
        <w:rPr>
          <w:i/>
          <w:iCs/>
          <w:sz w:val="24"/>
          <w:szCs w:val="24"/>
        </w:rPr>
        <w:t xml:space="preserve">tart služeb v oblasti </w:t>
      </w:r>
      <w:r w:rsidR="00F27E3B">
        <w:rPr>
          <w:i/>
          <w:iCs/>
          <w:sz w:val="24"/>
          <w:szCs w:val="24"/>
        </w:rPr>
        <w:t>akumulace, agregace a</w:t>
      </w:r>
      <w:r w:rsidR="004D096B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podpory řízení sítí</w:t>
      </w:r>
      <w:r w:rsidR="004D096B">
        <w:rPr>
          <w:i/>
          <w:iCs/>
          <w:sz w:val="24"/>
          <w:szCs w:val="24"/>
        </w:rPr>
        <w:t xml:space="preserve"> pro nás přestavuje nejen </w:t>
      </w:r>
      <w:r w:rsidR="004343C0">
        <w:rPr>
          <w:i/>
          <w:iCs/>
          <w:sz w:val="24"/>
          <w:szCs w:val="24"/>
        </w:rPr>
        <w:t xml:space="preserve">další </w:t>
      </w:r>
      <w:r w:rsidR="004D096B">
        <w:rPr>
          <w:i/>
          <w:iCs/>
          <w:sz w:val="24"/>
          <w:szCs w:val="24"/>
        </w:rPr>
        <w:t xml:space="preserve">výrazné navýšení </w:t>
      </w:r>
      <w:r w:rsidR="004343C0">
        <w:rPr>
          <w:i/>
          <w:iCs/>
          <w:sz w:val="24"/>
          <w:szCs w:val="24"/>
        </w:rPr>
        <w:t>jejich objemu</w:t>
      </w:r>
      <w:r w:rsidR="004D096B">
        <w:rPr>
          <w:i/>
          <w:iCs/>
          <w:sz w:val="24"/>
          <w:szCs w:val="24"/>
        </w:rPr>
        <w:t xml:space="preserve">, ale i nové procesy, podle kterých budeme muset postupovat. Aktuálně vše důkladně testujeme, abychom od 1. srpna mohli učinit další významný krok </w:t>
      </w:r>
      <w:r>
        <w:rPr>
          <w:i/>
          <w:iCs/>
          <w:sz w:val="24"/>
          <w:szCs w:val="24"/>
        </w:rPr>
        <w:t>k</w:t>
      </w:r>
      <w:r w:rsidR="00E80A1C">
        <w:rPr>
          <w:i/>
          <w:iCs/>
          <w:sz w:val="24"/>
          <w:szCs w:val="24"/>
        </w:rPr>
        <w:t> </w:t>
      </w:r>
      <w:r w:rsidR="004D096B">
        <w:rPr>
          <w:i/>
          <w:iCs/>
          <w:sz w:val="24"/>
          <w:szCs w:val="24"/>
        </w:rPr>
        <w:t>transformac</w:t>
      </w:r>
      <w:r>
        <w:rPr>
          <w:i/>
          <w:iCs/>
          <w:sz w:val="24"/>
          <w:szCs w:val="24"/>
        </w:rPr>
        <w:t>i</w:t>
      </w:r>
      <w:r w:rsidR="004D096B">
        <w:rPr>
          <w:i/>
          <w:iCs/>
          <w:sz w:val="24"/>
          <w:szCs w:val="24"/>
        </w:rPr>
        <w:t xml:space="preserve"> české energetiky,“ </w:t>
      </w:r>
      <w:r>
        <w:rPr>
          <w:sz w:val="24"/>
          <w:szCs w:val="24"/>
        </w:rPr>
        <w:t xml:space="preserve">řekl Pavel </w:t>
      </w:r>
      <w:proofErr w:type="spellStart"/>
      <w:r>
        <w:rPr>
          <w:sz w:val="24"/>
          <w:szCs w:val="24"/>
        </w:rPr>
        <w:t>Šunda</w:t>
      </w:r>
      <w:proofErr w:type="spellEnd"/>
      <w:r>
        <w:rPr>
          <w:sz w:val="24"/>
          <w:szCs w:val="24"/>
        </w:rPr>
        <w:t xml:space="preserve">, </w:t>
      </w:r>
      <w:r w:rsidR="00E80A1C">
        <w:rPr>
          <w:sz w:val="24"/>
          <w:szCs w:val="24"/>
        </w:rPr>
        <w:t xml:space="preserve">nový </w:t>
      </w:r>
      <w:r w:rsidR="00590991" w:rsidRPr="00E80A1C">
        <w:rPr>
          <w:sz w:val="24"/>
          <w:szCs w:val="24"/>
        </w:rPr>
        <w:t>člen</w:t>
      </w:r>
      <w:r w:rsidRPr="00A217F0">
        <w:rPr>
          <w:sz w:val="24"/>
          <w:szCs w:val="24"/>
        </w:rPr>
        <w:t xml:space="preserve"> představenstva EDC</w:t>
      </w:r>
      <w:r>
        <w:rPr>
          <w:sz w:val="24"/>
          <w:szCs w:val="24"/>
        </w:rPr>
        <w:t>.</w:t>
      </w:r>
    </w:p>
    <w:p w14:paraId="2AA9DB08" w14:textId="50AED21C" w:rsidR="00C81760" w:rsidRDefault="004D096B" w:rsidP="00A048D3">
      <w:pPr>
        <w:rPr>
          <w:sz w:val="24"/>
          <w:szCs w:val="24"/>
        </w:rPr>
      </w:pPr>
      <w:r>
        <w:rPr>
          <w:sz w:val="24"/>
          <w:szCs w:val="24"/>
        </w:rPr>
        <w:t xml:space="preserve">Ke sdílení elektřiny se </w:t>
      </w:r>
      <w:r w:rsidR="004D0D06">
        <w:rPr>
          <w:sz w:val="24"/>
          <w:szCs w:val="24"/>
        </w:rPr>
        <w:t xml:space="preserve">za přibližně rok a půl od jeho spuštění </w:t>
      </w:r>
      <w:r>
        <w:rPr>
          <w:sz w:val="24"/>
          <w:szCs w:val="24"/>
        </w:rPr>
        <w:t xml:space="preserve">u EDC </w:t>
      </w:r>
      <w:r w:rsidR="00942E3F">
        <w:rPr>
          <w:sz w:val="24"/>
          <w:szCs w:val="24"/>
        </w:rPr>
        <w:t>přihlásilo</w:t>
      </w:r>
      <w:r w:rsidR="002D52FE">
        <w:rPr>
          <w:sz w:val="24"/>
          <w:szCs w:val="24"/>
        </w:rPr>
        <w:t xml:space="preserve"> </w:t>
      </w:r>
      <w:r w:rsidR="00942E3F">
        <w:rPr>
          <w:sz w:val="24"/>
          <w:szCs w:val="24"/>
        </w:rPr>
        <w:t xml:space="preserve">celkově již </w:t>
      </w:r>
      <w:r w:rsidR="002D52FE">
        <w:rPr>
          <w:sz w:val="24"/>
          <w:szCs w:val="24"/>
        </w:rPr>
        <w:t>38 817 zájemců. Ti se sdružili do 22 770 skupin sdílení</w:t>
      </w:r>
      <w:r w:rsidR="00942E3F">
        <w:rPr>
          <w:sz w:val="24"/>
          <w:szCs w:val="24"/>
        </w:rPr>
        <w:t xml:space="preserve"> a zaregistrovali </w:t>
      </w:r>
      <w:r w:rsidR="00942E3F" w:rsidRPr="00FF37D0">
        <w:rPr>
          <w:sz w:val="24"/>
          <w:szCs w:val="24"/>
        </w:rPr>
        <w:t>39 909 odběrných a</w:t>
      </w:r>
      <w:r w:rsidR="00975088">
        <w:rPr>
          <w:sz w:val="24"/>
          <w:szCs w:val="24"/>
        </w:rPr>
        <w:t> </w:t>
      </w:r>
      <w:r w:rsidR="00942E3F" w:rsidRPr="00FF37D0">
        <w:rPr>
          <w:sz w:val="24"/>
          <w:szCs w:val="24"/>
        </w:rPr>
        <w:t>24</w:t>
      </w:r>
      <w:r w:rsidR="00975088">
        <w:rPr>
          <w:sz w:val="24"/>
          <w:szCs w:val="24"/>
        </w:rPr>
        <w:t> </w:t>
      </w:r>
      <w:r w:rsidR="00942E3F" w:rsidRPr="00FF37D0">
        <w:rPr>
          <w:sz w:val="24"/>
          <w:szCs w:val="24"/>
        </w:rPr>
        <w:t>015 výrobních mís</w:t>
      </w:r>
      <w:r w:rsidR="00942E3F">
        <w:rPr>
          <w:sz w:val="24"/>
          <w:szCs w:val="24"/>
        </w:rPr>
        <w:t>t. Celkový objem sdílené elektřiny dosáhl 67</w:t>
      </w:r>
      <w:r w:rsidR="00E37D2A">
        <w:rPr>
          <w:sz w:val="24"/>
          <w:szCs w:val="24"/>
        </w:rPr>
        <w:t>,</w:t>
      </w:r>
      <w:r w:rsidR="00942E3F">
        <w:rPr>
          <w:sz w:val="24"/>
          <w:szCs w:val="24"/>
        </w:rPr>
        <w:t xml:space="preserve">9 </w:t>
      </w:r>
      <w:proofErr w:type="spellStart"/>
      <w:r w:rsidR="00942E3F">
        <w:rPr>
          <w:sz w:val="24"/>
          <w:szCs w:val="24"/>
        </w:rPr>
        <w:t>GWh</w:t>
      </w:r>
      <w:proofErr w:type="spellEnd"/>
      <w:r w:rsidR="00942E3F">
        <w:rPr>
          <w:sz w:val="24"/>
          <w:szCs w:val="24"/>
        </w:rPr>
        <w:t xml:space="preserve">, což pro představu odpovídá roční spotřebě všech domácností města </w:t>
      </w:r>
      <w:r w:rsidR="004D0D06">
        <w:rPr>
          <w:sz w:val="24"/>
          <w:szCs w:val="24"/>
        </w:rPr>
        <w:t>Teplice</w:t>
      </w:r>
      <w:r w:rsidR="00942E3F">
        <w:rPr>
          <w:sz w:val="24"/>
          <w:szCs w:val="24"/>
        </w:rPr>
        <w:t>. N</w:t>
      </w:r>
      <w:r w:rsidR="002D52FE">
        <w:rPr>
          <w:sz w:val="24"/>
          <w:szCs w:val="24"/>
        </w:rPr>
        <w:t xml:space="preserve">ejpočetnější </w:t>
      </w:r>
      <w:r w:rsidR="00942E3F">
        <w:rPr>
          <w:sz w:val="24"/>
          <w:szCs w:val="24"/>
        </w:rPr>
        <w:t xml:space="preserve">skupinou sdílení </w:t>
      </w:r>
      <w:r w:rsidR="002D52FE">
        <w:rPr>
          <w:sz w:val="24"/>
          <w:szCs w:val="24"/>
        </w:rPr>
        <w:t xml:space="preserve">jsou tzv. aktivní zákazníci (21 709), následovaní bytovými domy (955) a energetickými společenstvími (106). </w:t>
      </w:r>
    </w:p>
    <w:p w14:paraId="3633D382" w14:textId="7EBD2430" w:rsidR="00975088" w:rsidRDefault="00942E3F" w:rsidP="00DE339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„Forma energetických společenství umožňuje sdílet až do 1000 odběrných míst a je proto vhodná zejména pro velké průmyslové areály nebo města </w:t>
      </w:r>
      <w:r w:rsidR="00C81760">
        <w:rPr>
          <w:i/>
          <w:iCs/>
          <w:sz w:val="24"/>
          <w:szCs w:val="24"/>
        </w:rPr>
        <w:t>či</w:t>
      </w:r>
      <w:r>
        <w:rPr>
          <w:i/>
          <w:iCs/>
          <w:sz w:val="24"/>
          <w:szCs w:val="24"/>
        </w:rPr>
        <w:t xml:space="preserve"> obce. Právě prudký a trvalý nárůst počtu této </w:t>
      </w:r>
      <w:r w:rsidR="00C81760">
        <w:rPr>
          <w:i/>
          <w:iCs/>
          <w:sz w:val="24"/>
          <w:szCs w:val="24"/>
        </w:rPr>
        <w:t>skupiny</w:t>
      </w:r>
      <w:r>
        <w:rPr>
          <w:i/>
          <w:iCs/>
          <w:sz w:val="24"/>
          <w:szCs w:val="24"/>
        </w:rPr>
        <w:t xml:space="preserve"> sdílení od začátku roku 2025 je dalším potvrzením dobře odvedené práce týmu EDC a významu sdílení elektřiny nejen pro domácnosti, ale i pro velké zákazníky</w:t>
      </w:r>
      <w:r w:rsidR="00C81760">
        <w:rPr>
          <w:i/>
          <w:iCs/>
          <w:sz w:val="24"/>
          <w:szCs w:val="24"/>
        </w:rPr>
        <w:t xml:space="preserve">,“ </w:t>
      </w:r>
      <w:r w:rsidR="00C81760" w:rsidRPr="00C81760">
        <w:rPr>
          <w:sz w:val="24"/>
          <w:szCs w:val="24"/>
        </w:rPr>
        <w:t>uzavřel</w:t>
      </w:r>
      <w:r w:rsidR="00C81760">
        <w:rPr>
          <w:sz w:val="24"/>
          <w:szCs w:val="24"/>
        </w:rPr>
        <w:t xml:space="preserve"> P. </w:t>
      </w:r>
      <w:proofErr w:type="spellStart"/>
      <w:r w:rsidR="00C81760">
        <w:rPr>
          <w:sz w:val="24"/>
          <w:szCs w:val="24"/>
        </w:rPr>
        <w:t>Šunda</w:t>
      </w:r>
      <w:proofErr w:type="spellEnd"/>
      <w:r w:rsidR="00C81760">
        <w:rPr>
          <w:sz w:val="24"/>
          <w:szCs w:val="24"/>
        </w:rPr>
        <w:t>.</w:t>
      </w:r>
      <w:r w:rsidR="00C81760">
        <w:rPr>
          <w:i/>
          <w:iCs/>
          <w:sz w:val="24"/>
          <w:szCs w:val="24"/>
        </w:rPr>
        <w:t xml:space="preserve"> </w:t>
      </w:r>
    </w:p>
    <w:p w14:paraId="5A1F7ED3" w14:textId="39224F15" w:rsidR="00DF5403" w:rsidRDefault="00DF5403" w:rsidP="00DE3392">
      <w:pPr>
        <w:rPr>
          <w:i/>
          <w:iCs/>
          <w:sz w:val="24"/>
          <w:szCs w:val="24"/>
        </w:rPr>
      </w:pPr>
      <w:r w:rsidRPr="00DF636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E622DF" wp14:editId="18B1BD67">
                <wp:simplePos x="0" y="0"/>
                <wp:positionH relativeFrom="margin">
                  <wp:posOffset>84455</wp:posOffset>
                </wp:positionH>
                <wp:positionV relativeFrom="paragraph">
                  <wp:posOffset>7620</wp:posOffset>
                </wp:positionV>
                <wp:extent cx="5524500" cy="1009650"/>
                <wp:effectExtent l="0" t="0" r="19050" b="190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61E9" w14:textId="0DD0FF46" w:rsidR="00DF5403" w:rsidRPr="00AA4716" w:rsidRDefault="00DF5403" w:rsidP="00DF5403">
                            <w:r w:rsidRPr="00AC3B35">
                              <w:t xml:space="preserve">Pavel </w:t>
                            </w:r>
                            <w:proofErr w:type="spellStart"/>
                            <w:r w:rsidRPr="00AC3B35">
                              <w:t>Šunda</w:t>
                            </w:r>
                            <w:proofErr w:type="spellEnd"/>
                            <w:r w:rsidRPr="00AC3B35">
                              <w:t xml:space="preserve"> po absolvování oboru </w:t>
                            </w:r>
                            <w:r w:rsidR="00AC3B35" w:rsidRPr="00AC3B35">
                              <w:t xml:space="preserve">Fyzikální elektronika </w:t>
                            </w:r>
                            <w:r w:rsidRPr="00AC3B35">
                              <w:t xml:space="preserve">na Fakultě jaderné a fyzikálně inženýrské ČVUT působil na různých manažerských pozicích v oblasti IT společností České radiokomunikace, Wüstenrot </w:t>
                            </w:r>
                            <w:proofErr w:type="spellStart"/>
                            <w:r w:rsidRPr="00AC3B35">
                              <w:t>Financial</w:t>
                            </w:r>
                            <w:proofErr w:type="spellEnd"/>
                            <w:r w:rsidRPr="00AC3B35">
                              <w:t xml:space="preserve"> Group či skupiny PPF. Do EDC přichází z Rádia Svobodná Evropa, kde </w:t>
                            </w:r>
                            <w:r w:rsidRPr="00BF406C">
                              <w:t>od roku 2022 zodpovídal za IT</w:t>
                            </w:r>
                            <w:r w:rsidR="009B0237" w:rsidRPr="00BF406C">
                              <w:t>, síťovou infrastrukturu</w:t>
                            </w:r>
                            <w:r w:rsidR="00DB2375" w:rsidRPr="00BF406C">
                              <w:t>, kybernetickou bezpečnost a inovace.</w:t>
                            </w:r>
                            <w:r w:rsidRPr="00BF406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622D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.65pt;margin-top:.6pt;width:435pt;height:7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">
                <v:textbox>
                  <w:txbxContent>
                    <w:p w14:paraId="1AE261E9" w14:textId="0DD0FF46" w:rsidR="00DF5403" w:rsidRPr="00AA4716" w:rsidRDefault="00DF5403" w:rsidP="00DF5403">
                      <w:r w:rsidRPr="00AC3B35">
                        <w:t xml:space="preserve">Pavel </w:t>
                      </w:r>
                      <w:proofErr w:type="spellStart"/>
                      <w:r w:rsidRPr="00AC3B35">
                        <w:t>Šunda</w:t>
                      </w:r>
                      <w:proofErr w:type="spellEnd"/>
                      <w:r w:rsidRPr="00AC3B35">
                        <w:t xml:space="preserve"> po absolvování oboru </w:t>
                      </w:r>
                      <w:r w:rsidR="00AC3B35" w:rsidRPr="00AC3B35">
                        <w:t xml:space="preserve">Fyzikální elektronika </w:t>
                      </w:r>
                      <w:r w:rsidRPr="00AC3B35">
                        <w:t xml:space="preserve">na Fakultě jaderné a fyzikálně inženýrské ČVUT působil na různých manažerských pozicích v oblasti IT společností České radiokomunikace, Wüstenrot </w:t>
                      </w:r>
                      <w:proofErr w:type="spellStart"/>
                      <w:r w:rsidRPr="00AC3B35">
                        <w:t>Financial</w:t>
                      </w:r>
                      <w:proofErr w:type="spellEnd"/>
                      <w:r w:rsidRPr="00AC3B35">
                        <w:t xml:space="preserve"> Group či skupiny PPF. Do EDC přichází z Rádia Svobodná Evropa, kde </w:t>
                      </w:r>
                      <w:r w:rsidRPr="00BF406C">
                        <w:t>od roku 2022 zodpovídal za IT</w:t>
                      </w:r>
                      <w:r w:rsidR="009B0237" w:rsidRPr="00BF406C">
                        <w:t>, síťovou infrastrukturu</w:t>
                      </w:r>
                      <w:r w:rsidR="00DB2375" w:rsidRPr="00BF406C">
                        <w:t>, kybernetickou bezpečnost a inovace.</w:t>
                      </w:r>
                      <w:r w:rsidRPr="00BF406C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A9C05" w14:textId="77777777" w:rsidR="00DF5403" w:rsidRDefault="00DF5403" w:rsidP="00DE3392">
      <w:pPr>
        <w:rPr>
          <w:i/>
          <w:iCs/>
          <w:sz w:val="24"/>
          <w:szCs w:val="24"/>
        </w:rPr>
      </w:pPr>
    </w:p>
    <w:p w14:paraId="14DC5937" w14:textId="77777777" w:rsidR="00DF5403" w:rsidRDefault="00DF5403" w:rsidP="00975088">
      <w:pPr>
        <w:spacing w:line="276" w:lineRule="auto"/>
        <w:outlineLvl w:val="0"/>
        <w:rPr>
          <w:b/>
          <w:sz w:val="18"/>
          <w:szCs w:val="18"/>
        </w:rPr>
      </w:pPr>
    </w:p>
    <w:p w14:paraId="35EA0DFC" w14:textId="77777777" w:rsidR="00BF406C" w:rsidRDefault="00BF406C" w:rsidP="00975088">
      <w:pPr>
        <w:spacing w:line="276" w:lineRule="auto"/>
        <w:outlineLvl w:val="0"/>
        <w:rPr>
          <w:b/>
          <w:sz w:val="18"/>
          <w:szCs w:val="18"/>
        </w:rPr>
      </w:pPr>
    </w:p>
    <w:p w14:paraId="06559B6C" w14:textId="77777777" w:rsidR="00775DD0" w:rsidRDefault="00775DD0" w:rsidP="00975088">
      <w:pPr>
        <w:spacing w:line="276" w:lineRule="auto"/>
        <w:outlineLvl w:val="0"/>
        <w:rPr>
          <w:b/>
          <w:sz w:val="18"/>
          <w:szCs w:val="18"/>
        </w:rPr>
      </w:pPr>
    </w:p>
    <w:p w14:paraId="63F2A8BC" w14:textId="47366565" w:rsidR="00427B67" w:rsidRDefault="00BF406C" w:rsidP="00DE3392">
      <w:pPr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___________</w:t>
      </w:r>
      <w:r w:rsidR="00427B67">
        <w:rPr>
          <w:iCs/>
          <w:sz w:val="24"/>
          <w:szCs w:val="24"/>
        </w:rPr>
        <w:t>___________________________________</w:t>
      </w:r>
      <w:r w:rsidR="006D7F3F">
        <w:rPr>
          <w:iCs/>
          <w:sz w:val="24"/>
          <w:szCs w:val="24"/>
        </w:rPr>
        <w:t>_______________________</w:t>
      </w:r>
      <w:r w:rsidR="00E415CD">
        <w:rPr>
          <w:iCs/>
          <w:sz w:val="24"/>
          <w:szCs w:val="24"/>
        </w:rPr>
        <w:t>____</w:t>
      </w:r>
    </w:p>
    <w:p w14:paraId="479ED5D1" w14:textId="36A89CAF" w:rsidR="00F85CAF" w:rsidRDefault="00427B67" w:rsidP="00DD3FF0">
      <w:pPr>
        <w:spacing w:line="276" w:lineRule="auto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Statistiky EDC:</w:t>
      </w:r>
    </w:p>
    <w:p w14:paraId="50F009EB" w14:textId="37FDE1F3" w:rsidR="0002372C" w:rsidRDefault="0002372C" w:rsidP="00DD3FF0">
      <w:pPr>
        <w:spacing w:line="276" w:lineRule="auto"/>
        <w:outlineLvl w:val="0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21D1FA13" wp14:editId="5FA06C56">
            <wp:extent cx="5781675" cy="3276600"/>
            <wp:effectExtent l="0" t="0" r="9525" b="0"/>
            <wp:docPr id="140460521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04E4FA5-BADE-781C-2E96-E19223FA83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EA5C3A" w14:textId="639CFC8F" w:rsidR="0002372C" w:rsidRDefault="0002372C" w:rsidP="00DD3FF0">
      <w:pPr>
        <w:spacing w:line="276" w:lineRule="auto"/>
        <w:outlineLvl w:val="0"/>
        <w:rPr>
          <w:b/>
          <w:sz w:val="18"/>
          <w:szCs w:val="18"/>
        </w:rPr>
      </w:pPr>
      <w:r w:rsidRPr="0002372C">
        <w:rPr>
          <w:b/>
          <w:noProof/>
          <w:sz w:val="18"/>
          <w:szCs w:val="18"/>
        </w:rPr>
        <w:drawing>
          <wp:inline distT="0" distB="0" distL="0" distR="0" wp14:anchorId="1891EBFE" wp14:editId="79B3C022">
            <wp:extent cx="5760720" cy="3840480"/>
            <wp:effectExtent l="0" t="0" r="11430" b="7620"/>
            <wp:docPr id="68355161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196ECB9C-A7DB-7F22-5F92-460D4BD170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08AACD" w14:textId="77777777" w:rsidR="0002372C" w:rsidRDefault="0002372C" w:rsidP="00DD3FF0">
      <w:pPr>
        <w:spacing w:line="276" w:lineRule="auto"/>
        <w:outlineLvl w:val="0"/>
        <w:rPr>
          <w:b/>
          <w:sz w:val="18"/>
          <w:szCs w:val="18"/>
        </w:rPr>
      </w:pPr>
    </w:p>
    <w:p w14:paraId="3AEA8491" w14:textId="301DF6CB" w:rsidR="0002372C" w:rsidRDefault="00985F77" w:rsidP="00DD3FF0">
      <w:pPr>
        <w:spacing w:line="276" w:lineRule="auto"/>
        <w:outlineLvl w:val="0"/>
        <w:rPr>
          <w:b/>
          <w:sz w:val="18"/>
          <w:szCs w:val="18"/>
        </w:rPr>
      </w:pPr>
      <w:r w:rsidRPr="00985F77">
        <w:rPr>
          <w:b/>
          <w:noProof/>
          <w:sz w:val="18"/>
          <w:szCs w:val="18"/>
        </w:rPr>
        <w:lastRenderedPageBreak/>
        <w:drawing>
          <wp:inline distT="0" distB="0" distL="0" distR="0" wp14:anchorId="0891938E" wp14:editId="43CB77C9">
            <wp:extent cx="5760720" cy="3438525"/>
            <wp:effectExtent l="0" t="0" r="11430" b="9525"/>
            <wp:docPr id="82421216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E5A1657-7CD7-2E11-A618-C5667D012D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82A398C" w14:textId="77777777" w:rsidR="0002372C" w:rsidRDefault="0002372C" w:rsidP="00DD3FF0">
      <w:pPr>
        <w:spacing w:line="276" w:lineRule="auto"/>
        <w:outlineLvl w:val="0"/>
        <w:rPr>
          <w:b/>
          <w:sz w:val="18"/>
          <w:szCs w:val="18"/>
        </w:rPr>
      </w:pPr>
    </w:p>
    <w:p w14:paraId="0D1910AB" w14:textId="30118571" w:rsidR="0002372C" w:rsidRDefault="00985F77" w:rsidP="00DD3FF0">
      <w:pPr>
        <w:spacing w:line="276" w:lineRule="auto"/>
        <w:outlineLvl w:val="0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2B38FB52" wp14:editId="736DC28F">
            <wp:extent cx="5760720" cy="3409950"/>
            <wp:effectExtent l="0" t="0" r="11430" b="0"/>
            <wp:docPr id="48060657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CEBDC5-4AE9-D444-D7B2-14D6099803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C2ECBD" w14:textId="77777777" w:rsidR="00BF406C" w:rsidRDefault="00BF406C" w:rsidP="00BF406C">
      <w:pPr>
        <w:spacing w:line="276" w:lineRule="auto"/>
        <w:outlineLvl w:val="0"/>
        <w:rPr>
          <w:b/>
          <w:sz w:val="18"/>
          <w:szCs w:val="18"/>
        </w:rPr>
      </w:pPr>
    </w:p>
    <w:p w14:paraId="0CDCB267" w14:textId="54CDEB26" w:rsidR="00BF406C" w:rsidRDefault="00BF406C" w:rsidP="00BF406C">
      <w:pPr>
        <w:spacing w:line="276" w:lineRule="auto"/>
        <w:outlineLvl w:val="0"/>
        <w:rPr>
          <w:rFonts w:ascii="Times New Roman" w:hAnsi="Times New Roman"/>
          <w:b/>
          <w:sz w:val="18"/>
          <w:szCs w:val="18"/>
        </w:rPr>
      </w:pPr>
      <w:r>
        <w:rPr>
          <w:b/>
          <w:sz w:val="18"/>
          <w:szCs w:val="18"/>
        </w:rPr>
        <w:t>Kontakt:</w:t>
      </w:r>
      <w:r w:rsidRPr="00361D81">
        <w:rPr>
          <w:noProof/>
          <w:sz w:val="6"/>
          <w:lang w:eastAsia="cs-CZ"/>
        </w:rPr>
        <w:t xml:space="preserve"> </w:t>
      </w:r>
    </w:p>
    <w:p w14:paraId="09B4E3AD" w14:textId="77777777" w:rsidR="00BF406C" w:rsidRDefault="00BF406C" w:rsidP="00BF406C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noProof/>
          <w:color w:val="262626"/>
          <w:lang w:eastAsia="cs-CZ"/>
        </w:rPr>
        <w:drawing>
          <wp:inline distT="0" distB="0" distL="0" distR="0" wp14:anchorId="7091AE74" wp14:editId="1FDE99C5">
            <wp:extent cx="1123950" cy="180975"/>
            <wp:effectExtent l="0" t="0" r="0" b="9525"/>
            <wp:docPr id="1388920853" name="Obrázek 1388920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F178B" w14:textId="77777777" w:rsidR="00BF406C" w:rsidRDefault="00BF406C" w:rsidP="00BF406C">
      <w:pPr>
        <w:autoSpaceDE w:val="0"/>
        <w:autoSpaceDN w:val="0"/>
        <w:spacing w:after="0" w:line="276" w:lineRule="auto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Garik Hammer</w:t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  <w:t xml:space="preserve"> </w:t>
      </w:r>
      <w:r>
        <w:rPr>
          <w:rFonts w:ascii="Cambria" w:hAnsi="Cambria"/>
          <w:sz w:val="18"/>
          <w:szCs w:val="18"/>
        </w:rPr>
        <w:t>tel.: +420 739 004 799</w:t>
      </w:r>
    </w:p>
    <w:p w14:paraId="3B873C70" w14:textId="77777777" w:rsidR="00BF406C" w:rsidRDefault="00BF406C" w:rsidP="00BF406C">
      <w:pPr>
        <w:autoSpaceDE w:val="0"/>
        <w:autoSpaceDN w:val="0"/>
        <w:spacing w:after="0" w:line="276" w:lineRule="auto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>DDeM, s. r. o.</w:t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  <w:t xml:space="preserve"> </w:t>
      </w:r>
      <w:r>
        <w:rPr>
          <w:rFonts w:ascii="Cambria" w:hAnsi="Cambria"/>
          <w:sz w:val="18"/>
          <w:szCs w:val="18"/>
        </w:rPr>
        <w:t>tel.: +420 222 250 300</w:t>
      </w:r>
    </w:p>
    <w:p w14:paraId="4E2661CA" w14:textId="77777777" w:rsidR="00BF406C" w:rsidRDefault="00BF406C" w:rsidP="00BF406C">
      <w:pPr>
        <w:autoSpaceDE w:val="0"/>
        <w:autoSpaceDN w:val="0"/>
        <w:spacing w:after="0" w:line="276" w:lineRule="auto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>Běchovická 18</w:t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  <w:t xml:space="preserve">         </w:t>
      </w:r>
      <w:r>
        <w:rPr>
          <w:rFonts w:ascii="Cambria" w:hAnsi="Cambria"/>
          <w:sz w:val="18"/>
          <w:szCs w:val="18"/>
        </w:rPr>
        <w:t xml:space="preserve">e-mail: </w:t>
      </w:r>
      <w:hyperlink r:id="rId13" w:history="1">
        <w:r>
          <w:rPr>
            <w:rStyle w:val="Hypertextovodkaz"/>
            <w:rFonts w:ascii="Cambria" w:hAnsi="Cambria"/>
            <w:sz w:val="18"/>
          </w:rPr>
          <w:t>ghammer@ddem.cz</w:t>
        </w:r>
      </w:hyperlink>
    </w:p>
    <w:p w14:paraId="18D4482D" w14:textId="230109FF" w:rsidR="00975088" w:rsidRDefault="00BF406C">
      <w:pPr>
        <w:autoSpaceDE w:val="0"/>
        <w:autoSpaceDN w:val="0"/>
        <w:spacing w:after="0" w:line="276" w:lineRule="auto"/>
      </w:pPr>
      <w:r>
        <w:rPr>
          <w:rFonts w:ascii="Cambria" w:hAnsi="Cambria"/>
          <w:color w:val="000000"/>
          <w:sz w:val="18"/>
          <w:szCs w:val="18"/>
        </w:rPr>
        <w:t>100 00 Praha 10</w:t>
      </w:r>
      <w:r>
        <w:rPr>
          <w:rFonts w:ascii="Cambria" w:hAnsi="Cambria"/>
          <w:color w:val="000000"/>
          <w:sz w:val="18"/>
          <w:szCs w:val="18"/>
        </w:rPr>
        <w:tab/>
      </w:r>
      <w:r>
        <w:rPr>
          <w:rFonts w:ascii="Cambria" w:hAnsi="Cambria"/>
          <w:color w:val="000000"/>
          <w:sz w:val="18"/>
          <w:szCs w:val="18"/>
        </w:rPr>
        <w:tab/>
      </w:r>
    </w:p>
    <w:sectPr w:rsidR="00975088" w:rsidSect="00427B67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/>
      <w:pgMar w:top="1701" w:right="1417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411D" w14:textId="77777777" w:rsidR="00F5243A" w:rsidRDefault="00F5243A" w:rsidP="00B26CAC">
      <w:pPr>
        <w:spacing w:after="0" w:line="240" w:lineRule="auto"/>
      </w:pPr>
      <w:r>
        <w:separator/>
      </w:r>
    </w:p>
  </w:endnote>
  <w:endnote w:type="continuationSeparator" w:id="0">
    <w:p w14:paraId="58C39A2F" w14:textId="77777777" w:rsidR="00F5243A" w:rsidRDefault="00F5243A" w:rsidP="00B2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faul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DE9C" w14:textId="7875E3AA" w:rsidR="00802A8F" w:rsidRDefault="00802A8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ABF9CD" wp14:editId="10B152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57935" cy="357505"/>
              <wp:effectExtent l="0" t="0" r="12065" b="0"/>
              <wp:wrapNone/>
              <wp:docPr id="1634511603" name="Textové pole 2" descr="Klasifikace: 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E823A" w14:textId="02D69748" w:rsidR="00802A8F" w:rsidRPr="00802A8F" w:rsidRDefault="00802A8F" w:rsidP="00802A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2A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Klasifikace: 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BF9C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Klasifikace: Veřejné" style="position:absolute;margin-left:0;margin-top:0;width:99.0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" filled="f" stroked="f">
              <v:textbox style="mso-fit-shape-to-text:t" inset="20pt,0,0,15pt">
                <w:txbxContent>
                  <w:p w14:paraId="14FE823A" w14:textId="02D69748" w:rsidR="00802A8F" w:rsidRPr="00802A8F" w:rsidRDefault="00802A8F" w:rsidP="00802A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2A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Klasifikace: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A9D5" w14:textId="3A5AD69F" w:rsidR="00802A8F" w:rsidRDefault="00802A8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E85FD6" wp14:editId="3A0D05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57935" cy="357505"/>
              <wp:effectExtent l="0" t="0" r="12065" b="0"/>
              <wp:wrapNone/>
              <wp:docPr id="774281410" name="Textové pole 1" descr="Klasifikace: 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875C6" w14:textId="19FB087F" w:rsidR="00802A8F" w:rsidRPr="00802A8F" w:rsidRDefault="00802A8F" w:rsidP="00802A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2A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Klasifikace: 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85FD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Klasifikace: Veřejné" style="position:absolute;margin-left:0;margin-top:0;width:99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" filled="f" stroked="f">
              <v:textbox style="mso-fit-shape-to-text:t" inset="20pt,0,0,15pt">
                <w:txbxContent>
                  <w:p w14:paraId="3DE875C6" w14:textId="19FB087F" w:rsidR="00802A8F" w:rsidRPr="00802A8F" w:rsidRDefault="00802A8F" w:rsidP="00802A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2A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Klasifikace: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FF4B" w14:textId="77777777" w:rsidR="00F5243A" w:rsidRDefault="00F5243A" w:rsidP="00B26CAC">
      <w:pPr>
        <w:spacing w:after="0" w:line="240" w:lineRule="auto"/>
      </w:pPr>
      <w:r>
        <w:separator/>
      </w:r>
    </w:p>
  </w:footnote>
  <w:footnote w:type="continuationSeparator" w:id="0">
    <w:p w14:paraId="31A4F94B" w14:textId="77777777" w:rsidR="00F5243A" w:rsidRDefault="00F5243A" w:rsidP="00B2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76C4" w14:textId="77777777" w:rsidR="0026130A" w:rsidRDefault="0026130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C234C0" wp14:editId="0A6E8E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605155"/>
              <wp:effectExtent l="0" t="0" r="0" b="17145"/>
              <wp:wrapNone/>
              <wp:docPr id="4" name="Textové pole 4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6FFCB" w14:textId="77777777" w:rsidR="0026130A" w:rsidRPr="0026130A" w:rsidRDefault="0026130A" w:rsidP="0026130A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130A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234C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í / Internal" style="position:absolute;margin-left:-16.25pt;margin-top:0;width:34.95pt;height:47.65pt;z-index:251659264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" filled="f" stroked="f">
              <v:textbox style="mso-fit-shape-to-text:t" inset="0,25pt,30pt,0">
                <w:txbxContent>
                  <w:p w14:paraId="4576FFCB" w14:textId="77777777" w:rsidR="0026130A" w:rsidRPr="0026130A" w:rsidRDefault="0026130A" w:rsidP="0026130A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</w:pPr>
                    <w:r w:rsidRPr="0026130A"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C0F8" w14:textId="25ED873E" w:rsidR="00EC09BF" w:rsidRDefault="00097A22" w:rsidP="0063161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E4A978D" wp14:editId="16B4A181">
          <wp:simplePos x="0" y="0"/>
          <wp:positionH relativeFrom="column">
            <wp:posOffset>4600575</wp:posOffset>
          </wp:positionH>
          <wp:positionV relativeFrom="paragraph">
            <wp:posOffset>63500</wp:posOffset>
          </wp:positionV>
          <wp:extent cx="1194435" cy="666750"/>
          <wp:effectExtent l="0" t="0" r="5715" b="0"/>
          <wp:wrapTight wrapText="bothSides">
            <wp:wrapPolygon edited="0">
              <wp:start x="0" y="0"/>
              <wp:lineTo x="0" y="20983"/>
              <wp:lineTo x="21359" y="20983"/>
              <wp:lineTo x="21359" y="0"/>
              <wp:lineTo x="0" y="0"/>
            </wp:wrapPolygon>
          </wp:wrapTight>
          <wp:docPr id="1418856354" name="Obrázek 1418856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1E39" w14:textId="77777777" w:rsidR="0026130A" w:rsidRDefault="0026130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0851BC" wp14:editId="1B346E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605155"/>
              <wp:effectExtent l="0" t="0" r="0" b="17145"/>
              <wp:wrapNone/>
              <wp:docPr id="3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F761C" w14:textId="77777777" w:rsidR="0026130A" w:rsidRPr="0026130A" w:rsidRDefault="0026130A" w:rsidP="0026130A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130A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851B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í / Internal" style="position:absolute;margin-left:-16.25pt;margin-top:0;width:34.95pt;height:47.65pt;z-index:251658240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" filled="f" stroked="f">
              <v:textbox style="mso-fit-shape-to-text:t" inset="0,25pt,30pt,0">
                <w:txbxContent>
                  <w:p w14:paraId="0B9F761C" w14:textId="77777777" w:rsidR="0026130A" w:rsidRPr="0026130A" w:rsidRDefault="0026130A" w:rsidP="0026130A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</w:pPr>
                    <w:r w:rsidRPr="0026130A"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6AFE"/>
    <w:multiLevelType w:val="hybridMultilevel"/>
    <w:tmpl w:val="79A40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C664F"/>
    <w:multiLevelType w:val="hybridMultilevel"/>
    <w:tmpl w:val="D3842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374CC"/>
    <w:multiLevelType w:val="hybridMultilevel"/>
    <w:tmpl w:val="F996B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748B7"/>
    <w:multiLevelType w:val="hybridMultilevel"/>
    <w:tmpl w:val="1C58E556"/>
    <w:lvl w:ilvl="0" w:tplc="A21E07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7A17"/>
    <w:multiLevelType w:val="hybridMultilevel"/>
    <w:tmpl w:val="4BC64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4F69"/>
    <w:multiLevelType w:val="multilevel"/>
    <w:tmpl w:val="499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32F79"/>
    <w:multiLevelType w:val="hybridMultilevel"/>
    <w:tmpl w:val="D3089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865981">
    <w:abstractNumId w:val="2"/>
  </w:num>
  <w:num w:numId="2" w16cid:durableId="887450403">
    <w:abstractNumId w:val="1"/>
  </w:num>
  <w:num w:numId="3" w16cid:durableId="1176842757">
    <w:abstractNumId w:val="5"/>
  </w:num>
  <w:num w:numId="4" w16cid:durableId="228421962">
    <w:abstractNumId w:val="6"/>
  </w:num>
  <w:num w:numId="5" w16cid:durableId="1886258314">
    <w:abstractNumId w:val="3"/>
  </w:num>
  <w:num w:numId="6" w16cid:durableId="411464962">
    <w:abstractNumId w:val="0"/>
  </w:num>
  <w:num w:numId="7" w16cid:durableId="1666279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D3"/>
    <w:rsid w:val="00002A66"/>
    <w:rsid w:val="000033BC"/>
    <w:rsid w:val="0001214D"/>
    <w:rsid w:val="00014664"/>
    <w:rsid w:val="00014FA4"/>
    <w:rsid w:val="000155E8"/>
    <w:rsid w:val="000162F1"/>
    <w:rsid w:val="000208F7"/>
    <w:rsid w:val="00020EF8"/>
    <w:rsid w:val="00023414"/>
    <w:rsid w:val="0002372C"/>
    <w:rsid w:val="0002583A"/>
    <w:rsid w:val="00031438"/>
    <w:rsid w:val="000326DD"/>
    <w:rsid w:val="00032DF5"/>
    <w:rsid w:val="00033B27"/>
    <w:rsid w:val="00033CBC"/>
    <w:rsid w:val="000340E3"/>
    <w:rsid w:val="0003604E"/>
    <w:rsid w:val="00036C9D"/>
    <w:rsid w:val="000377FD"/>
    <w:rsid w:val="0004084A"/>
    <w:rsid w:val="0004103C"/>
    <w:rsid w:val="000451D2"/>
    <w:rsid w:val="00047242"/>
    <w:rsid w:val="000503EF"/>
    <w:rsid w:val="00051E98"/>
    <w:rsid w:val="0005226C"/>
    <w:rsid w:val="00054CCF"/>
    <w:rsid w:val="00055015"/>
    <w:rsid w:val="00060482"/>
    <w:rsid w:val="00060843"/>
    <w:rsid w:val="00063608"/>
    <w:rsid w:val="000666AC"/>
    <w:rsid w:val="00070351"/>
    <w:rsid w:val="000705CC"/>
    <w:rsid w:val="000711C2"/>
    <w:rsid w:val="00071FE6"/>
    <w:rsid w:val="000721C6"/>
    <w:rsid w:val="0008242B"/>
    <w:rsid w:val="00082BB0"/>
    <w:rsid w:val="0008488A"/>
    <w:rsid w:val="00084A64"/>
    <w:rsid w:val="00085B62"/>
    <w:rsid w:val="00087E63"/>
    <w:rsid w:val="000907BD"/>
    <w:rsid w:val="000917D3"/>
    <w:rsid w:val="00092207"/>
    <w:rsid w:val="00092472"/>
    <w:rsid w:val="0009737A"/>
    <w:rsid w:val="00097A22"/>
    <w:rsid w:val="000A16AC"/>
    <w:rsid w:val="000A227D"/>
    <w:rsid w:val="000A55B1"/>
    <w:rsid w:val="000B309B"/>
    <w:rsid w:val="000B30F1"/>
    <w:rsid w:val="000B3598"/>
    <w:rsid w:val="000B44E9"/>
    <w:rsid w:val="000B6F4C"/>
    <w:rsid w:val="000C2B4A"/>
    <w:rsid w:val="000C2BBB"/>
    <w:rsid w:val="000C4258"/>
    <w:rsid w:val="000C4BE6"/>
    <w:rsid w:val="000C5304"/>
    <w:rsid w:val="000C70B9"/>
    <w:rsid w:val="000D6C50"/>
    <w:rsid w:val="000E0CFB"/>
    <w:rsid w:val="000E1023"/>
    <w:rsid w:val="000E2979"/>
    <w:rsid w:val="000E7066"/>
    <w:rsid w:val="000F1C3D"/>
    <w:rsid w:val="000F3066"/>
    <w:rsid w:val="000F360E"/>
    <w:rsid w:val="000F7184"/>
    <w:rsid w:val="0010209B"/>
    <w:rsid w:val="0010471E"/>
    <w:rsid w:val="00104FA8"/>
    <w:rsid w:val="001068B0"/>
    <w:rsid w:val="00106D35"/>
    <w:rsid w:val="00114B5C"/>
    <w:rsid w:val="0012028E"/>
    <w:rsid w:val="0012039E"/>
    <w:rsid w:val="00120701"/>
    <w:rsid w:val="00120C68"/>
    <w:rsid w:val="001226F9"/>
    <w:rsid w:val="00122FB8"/>
    <w:rsid w:val="00123145"/>
    <w:rsid w:val="00124FA3"/>
    <w:rsid w:val="0012520C"/>
    <w:rsid w:val="00125EDB"/>
    <w:rsid w:val="0013329A"/>
    <w:rsid w:val="0014060C"/>
    <w:rsid w:val="001411B9"/>
    <w:rsid w:val="00141D23"/>
    <w:rsid w:val="001423B5"/>
    <w:rsid w:val="00142D7B"/>
    <w:rsid w:val="00143734"/>
    <w:rsid w:val="00145688"/>
    <w:rsid w:val="0014580A"/>
    <w:rsid w:val="001472B6"/>
    <w:rsid w:val="00147799"/>
    <w:rsid w:val="00155623"/>
    <w:rsid w:val="00156748"/>
    <w:rsid w:val="00160367"/>
    <w:rsid w:val="0016394E"/>
    <w:rsid w:val="00167DE6"/>
    <w:rsid w:val="00173D70"/>
    <w:rsid w:val="001742A6"/>
    <w:rsid w:val="00181EFA"/>
    <w:rsid w:val="00183CF7"/>
    <w:rsid w:val="001862DD"/>
    <w:rsid w:val="00186E25"/>
    <w:rsid w:val="00187DBB"/>
    <w:rsid w:val="00191057"/>
    <w:rsid w:val="00194584"/>
    <w:rsid w:val="00194592"/>
    <w:rsid w:val="00194F16"/>
    <w:rsid w:val="00194F52"/>
    <w:rsid w:val="00197458"/>
    <w:rsid w:val="001A0975"/>
    <w:rsid w:val="001A364C"/>
    <w:rsid w:val="001A3FEA"/>
    <w:rsid w:val="001A5E7B"/>
    <w:rsid w:val="001A6D83"/>
    <w:rsid w:val="001A7C42"/>
    <w:rsid w:val="001B192A"/>
    <w:rsid w:val="001B528E"/>
    <w:rsid w:val="001B7FF4"/>
    <w:rsid w:val="001C0F44"/>
    <w:rsid w:val="001C3650"/>
    <w:rsid w:val="001C6CF5"/>
    <w:rsid w:val="001C75F4"/>
    <w:rsid w:val="001D2B05"/>
    <w:rsid w:val="001E145E"/>
    <w:rsid w:val="001E2237"/>
    <w:rsid w:val="001E31C6"/>
    <w:rsid w:val="001E31C8"/>
    <w:rsid w:val="001E42FB"/>
    <w:rsid w:val="001F0438"/>
    <w:rsid w:val="001F078C"/>
    <w:rsid w:val="001F08A5"/>
    <w:rsid w:val="001F3384"/>
    <w:rsid w:val="002003DF"/>
    <w:rsid w:val="00201078"/>
    <w:rsid w:val="00202E47"/>
    <w:rsid w:val="00202F71"/>
    <w:rsid w:val="00205828"/>
    <w:rsid w:val="002070A4"/>
    <w:rsid w:val="0021268D"/>
    <w:rsid w:val="00225538"/>
    <w:rsid w:val="00225B7B"/>
    <w:rsid w:val="00230A41"/>
    <w:rsid w:val="00231CF4"/>
    <w:rsid w:val="00231FEE"/>
    <w:rsid w:val="002324AC"/>
    <w:rsid w:val="00232CF3"/>
    <w:rsid w:val="00233CC8"/>
    <w:rsid w:val="00234A97"/>
    <w:rsid w:val="00236E45"/>
    <w:rsid w:val="002433D7"/>
    <w:rsid w:val="00244355"/>
    <w:rsid w:val="0025244A"/>
    <w:rsid w:val="00252915"/>
    <w:rsid w:val="00252F2E"/>
    <w:rsid w:val="00253EF1"/>
    <w:rsid w:val="00255A7D"/>
    <w:rsid w:val="002568B3"/>
    <w:rsid w:val="00256C62"/>
    <w:rsid w:val="00257A05"/>
    <w:rsid w:val="0026130A"/>
    <w:rsid w:val="00261415"/>
    <w:rsid w:val="00263223"/>
    <w:rsid w:val="00265361"/>
    <w:rsid w:val="00267618"/>
    <w:rsid w:val="002676B5"/>
    <w:rsid w:val="00270573"/>
    <w:rsid w:val="00272CBD"/>
    <w:rsid w:val="002731C1"/>
    <w:rsid w:val="002732C2"/>
    <w:rsid w:val="0027538E"/>
    <w:rsid w:val="002764FB"/>
    <w:rsid w:val="00280791"/>
    <w:rsid w:val="002904D3"/>
    <w:rsid w:val="00290B84"/>
    <w:rsid w:val="00290FAF"/>
    <w:rsid w:val="00291813"/>
    <w:rsid w:val="00293E0B"/>
    <w:rsid w:val="002944EE"/>
    <w:rsid w:val="00295B6A"/>
    <w:rsid w:val="002A2F03"/>
    <w:rsid w:val="002A4EE8"/>
    <w:rsid w:val="002A5F9B"/>
    <w:rsid w:val="002A6503"/>
    <w:rsid w:val="002A7182"/>
    <w:rsid w:val="002B1C1A"/>
    <w:rsid w:val="002B64EB"/>
    <w:rsid w:val="002C1753"/>
    <w:rsid w:val="002D4CF8"/>
    <w:rsid w:val="002D52FE"/>
    <w:rsid w:val="002D6706"/>
    <w:rsid w:val="002E06D5"/>
    <w:rsid w:val="002E1D2A"/>
    <w:rsid w:val="002E1D4C"/>
    <w:rsid w:val="002E2849"/>
    <w:rsid w:val="002E3E4A"/>
    <w:rsid w:val="002E547A"/>
    <w:rsid w:val="002F0ABD"/>
    <w:rsid w:val="002F6DB9"/>
    <w:rsid w:val="00300396"/>
    <w:rsid w:val="00303538"/>
    <w:rsid w:val="0030464D"/>
    <w:rsid w:val="00305623"/>
    <w:rsid w:val="00305ADF"/>
    <w:rsid w:val="0030734B"/>
    <w:rsid w:val="0031271F"/>
    <w:rsid w:val="00314A5B"/>
    <w:rsid w:val="00315DDF"/>
    <w:rsid w:val="00316303"/>
    <w:rsid w:val="00316C9C"/>
    <w:rsid w:val="00316E2E"/>
    <w:rsid w:val="0031739B"/>
    <w:rsid w:val="00323A12"/>
    <w:rsid w:val="00325C74"/>
    <w:rsid w:val="00325E98"/>
    <w:rsid w:val="00325F1F"/>
    <w:rsid w:val="00332E1F"/>
    <w:rsid w:val="003335E9"/>
    <w:rsid w:val="00344A52"/>
    <w:rsid w:val="003516F2"/>
    <w:rsid w:val="00351B63"/>
    <w:rsid w:val="00351FBA"/>
    <w:rsid w:val="00354779"/>
    <w:rsid w:val="00355E1F"/>
    <w:rsid w:val="00357F49"/>
    <w:rsid w:val="00360C0B"/>
    <w:rsid w:val="00362638"/>
    <w:rsid w:val="003669A0"/>
    <w:rsid w:val="00367AF7"/>
    <w:rsid w:val="0037084E"/>
    <w:rsid w:val="00375D1A"/>
    <w:rsid w:val="00375F5A"/>
    <w:rsid w:val="0037634A"/>
    <w:rsid w:val="00376BF9"/>
    <w:rsid w:val="003878B8"/>
    <w:rsid w:val="00390F94"/>
    <w:rsid w:val="003919E3"/>
    <w:rsid w:val="00395039"/>
    <w:rsid w:val="00395431"/>
    <w:rsid w:val="003A1473"/>
    <w:rsid w:val="003A175C"/>
    <w:rsid w:val="003A2208"/>
    <w:rsid w:val="003A29E6"/>
    <w:rsid w:val="003A5598"/>
    <w:rsid w:val="003A5EB7"/>
    <w:rsid w:val="003B285F"/>
    <w:rsid w:val="003B3AD8"/>
    <w:rsid w:val="003B4491"/>
    <w:rsid w:val="003B5099"/>
    <w:rsid w:val="003B57AE"/>
    <w:rsid w:val="003B6436"/>
    <w:rsid w:val="003C036A"/>
    <w:rsid w:val="003C0816"/>
    <w:rsid w:val="003C58D2"/>
    <w:rsid w:val="003C611B"/>
    <w:rsid w:val="003C7CB7"/>
    <w:rsid w:val="003D2F86"/>
    <w:rsid w:val="003D372F"/>
    <w:rsid w:val="003D4C75"/>
    <w:rsid w:val="003E034E"/>
    <w:rsid w:val="003E24A2"/>
    <w:rsid w:val="003E4D3F"/>
    <w:rsid w:val="003E5B10"/>
    <w:rsid w:val="003E6E96"/>
    <w:rsid w:val="003F19EC"/>
    <w:rsid w:val="003F531A"/>
    <w:rsid w:val="003F7B7E"/>
    <w:rsid w:val="00402651"/>
    <w:rsid w:val="004049C7"/>
    <w:rsid w:val="00405E3B"/>
    <w:rsid w:val="0040693A"/>
    <w:rsid w:val="00406A3C"/>
    <w:rsid w:val="00413679"/>
    <w:rsid w:val="00415413"/>
    <w:rsid w:val="00415494"/>
    <w:rsid w:val="00417100"/>
    <w:rsid w:val="00417DF9"/>
    <w:rsid w:val="00421A60"/>
    <w:rsid w:val="004226DF"/>
    <w:rsid w:val="00424598"/>
    <w:rsid w:val="00427B67"/>
    <w:rsid w:val="00430365"/>
    <w:rsid w:val="0043359A"/>
    <w:rsid w:val="00434041"/>
    <w:rsid w:val="004343C0"/>
    <w:rsid w:val="0043497B"/>
    <w:rsid w:val="004349D5"/>
    <w:rsid w:val="00440437"/>
    <w:rsid w:val="0044067B"/>
    <w:rsid w:val="004422B1"/>
    <w:rsid w:val="004463EA"/>
    <w:rsid w:val="00452FFA"/>
    <w:rsid w:val="00453397"/>
    <w:rsid w:val="00454521"/>
    <w:rsid w:val="00464C13"/>
    <w:rsid w:val="00465489"/>
    <w:rsid w:val="00466509"/>
    <w:rsid w:val="00467F3F"/>
    <w:rsid w:val="00470295"/>
    <w:rsid w:val="004726F9"/>
    <w:rsid w:val="004729C3"/>
    <w:rsid w:val="00472B54"/>
    <w:rsid w:val="00473FDB"/>
    <w:rsid w:val="00474578"/>
    <w:rsid w:val="004770C3"/>
    <w:rsid w:val="0048054D"/>
    <w:rsid w:val="00482A58"/>
    <w:rsid w:val="00487965"/>
    <w:rsid w:val="00490E67"/>
    <w:rsid w:val="0049361C"/>
    <w:rsid w:val="00494549"/>
    <w:rsid w:val="004947CC"/>
    <w:rsid w:val="004949CE"/>
    <w:rsid w:val="00497AB9"/>
    <w:rsid w:val="004A34AF"/>
    <w:rsid w:val="004A4058"/>
    <w:rsid w:val="004A4DE0"/>
    <w:rsid w:val="004B441D"/>
    <w:rsid w:val="004B5F5C"/>
    <w:rsid w:val="004B7DA6"/>
    <w:rsid w:val="004C183B"/>
    <w:rsid w:val="004C2B4A"/>
    <w:rsid w:val="004C36BA"/>
    <w:rsid w:val="004C57CD"/>
    <w:rsid w:val="004C5F4B"/>
    <w:rsid w:val="004D096B"/>
    <w:rsid w:val="004D0D06"/>
    <w:rsid w:val="004D0FA6"/>
    <w:rsid w:val="004D2170"/>
    <w:rsid w:val="004D4D3F"/>
    <w:rsid w:val="004D57B3"/>
    <w:rsid w:val="004E0D52"/>
    <w:rsid w:val="004E2889"/>
    <w:rsid w:val="004E3FD1"/>
    <w:rsid w:val="004E46D8"/>
    <w:rsid w:val="004E7958"/>
    <w:rsid w:val="004E7C04"/>
    <w:rsid w:val="004F15BB"/>
    <w:rsid w:val="004F25CB"/>
    <w:rsid w:val="004F2F08"/>
    <w:rsid w:val="004F424D"/>
    <w:rsid w:val="004F6F94"/>
    <w:rsid w:val="005002F2"/>
    <w:rsid w:val="0050030B"/>
    <w:rsid w:val="005041ED"/>
    <w:rsid w:val="00504BF7"/>
    <w:rsid w:val="005103B8"/>
    <w:rsid w:val="00510702"/>
    <w:rsid w:val="00511242"/>
    <w:rsid w:val="005137E9"/>
    <w:rsid w:val="005145AA"/>
    <w:rsid w:val="005170C7"/>
    <w:rsid w:val="0051791D"/>
    <w:rsid w:val="00522E2C"/>
    <w:rsid w:val="0052364D"/>
    <w:rsid w:val="00523C66"/>
    <w:rsid w:val="00523F98"/>
    <w:rsid w:val="005363AC"/>
    <w:rsid w:val="005475D2"/>
    <w:rsid w:val="00547E03"/>
    <w:rsid w:val="00551011"/>
    <w:rsid w:val="0055164F"/>
    <w:rsid w:val="00553689"/>
    <w:rsid w:val="00554FA8"/>
    <w:rsid w:val="00556796"/>
    <w:rsid w:val="005569C9"/>
    <w:rsid w:val="00562F7F"/>
    <w:rsid w:val="00566DF9"/>
    <w:rsid w:val="00576F08"/>
    <w:rsid w:val="00580759"/>
    <w:rsid w:val="00580927"/>
    <w:rsid w:val="00581A39"/>
    <w:rsid w:val="00582555"/>
    <w:rsid w:val="00582897"/>
    <w:rsid w:val="005863FD"/>
    <w:rsid w:val="00586B89"/>
    <w:rsid w:val="00590078"/>
    <w:rsid w:val="00590991"/>
    <w:rsid w:val="00591B3A"/>
    <w:rsid w:val="00594757"/>
    <w:rsid w:val="00597249"/>
    <w:rsid w:val="00597BCC"/>
    <w:rsid w:val="005A4A31"/>
    <w:rsid w:val="005A5229"/>
    <w:rsid w:val="005A6311"/>
    <w:rsid w:val="005A6D41"/>
    <w:rsid w:val="005A78E5"/>
    <w:rsid w:val="005B0976"/>
    <w:rsid w:val="005B323E"/>
    <w:rsid w:val="005B32BC"/>
    <w:rsid w:val="005B3508"/>
    <w:rsid w:val="005B7D78"/>
    <w:rsid w:val="005C1E33"/>
    <w:rsid w:val="005C7D78"/>
    <w:rsid w:val="005D3CC5"/>
    <w:rsid w:val="005D3ECC"/>
    <w:rsid w:val="005D4FFB"/>
    <w:rsid w:val="005D6AEC"/>
    <w:rsid w:val="005D6E07"/>
    <w:rsid w:val="005D7D7C"/>
    <w:rsid w:val="005E2862"/>
    <w:rsid w:val="005E493D"/>
    <w:rsid w:val="005E59CB"/>
    <w:rsid w:val="005E5AE0"/>
    <w:rsid w:val="005F558D"/>
    <w:rsid w:val="005F62DE"/>
    <w:rsid w:val="005F6C38"/>
    <w:rsid w:val="00601057"/>
    <w:rsid w:val="006016FB"/>
    <w:rsid w:val="006021C7"/>
    <w:rsid w:val="00605626"/>
    <w:rsid w:val="00605F74"/>
    <w:rsid w:val="006060A7"/>
    <w:rsid w:val="00606295"/>
    <w:rsid w:val="00611ED6"/>
    <w:rsid w:val="006131F9"/>
    <w:rsid w:val="0061364E"/>
    <w:rsid w:val="00613766"/>
    <w:rsid w:val="00616344"/>
    <w:rsid w:val="00616740"/>
    <w:rsid w:val="00616869"/>
    <w:rsid w:val="00617A9C"/>
    <w:rsid w:val="0062587E"/>
    <w:rsid w:val="006265BD"/>
    <w:rsid w:val="00627E2D"/>
    <w:rsid w:val="0063161B"/>
    <w:rsid w:val="00631BD0"/>
    <w:rsid w:val="006334F0"/>
    <w:rsid w:val="006455D5"/>
    <w:rsid w:val="0064677C"/>
    <w:rsid w:val="00647077"/>
    <w:rsid w:val="00654731"/>
    <w:rsid w:val="00654795"/>
    <w:rsid w:val="00654EA9"/>
    <w:rsid w:val="00656177"/>
    <w:rsid w:val="00656E93"/>
    <w:rsid w:val="00657385"/>
    <w:rsid w:val="0065770B"/>
    <w:rsid w:val="0066135D"/>
    <w:rsid w:val="0066198C"/>
    <w:rsid w:val="00662EC4"/>
    <w:rsid w:val="006657F4"/>
    <w:rsid w:val="00666C00"/>
    <w:rsid w:val="00667308"/>
    <w:rsid w:val="00667336"/>
    <w:rsid w:val="00667A79"/>
    <w:rsid w:val="00667CD9"/>
    <w:rsid w:val="00670C46"/>
    <w:rsid w:val="00672446"/>
    <w:rsid w:val="00673A96"/>
    <w:rsid w:val="00673FB1"/>
    <w:rsid w:val="0067420F"/>
    <w:rsid w:val="00674A99"/>
    <w:rsid w:val="0068063F"/>
    <w:rsid w:val="00680F50"/>
    <w:rsid w:val="006820CD"/>
    <w:rsid w:val="00682773"/>
    <w:rsid w:val="00684061"/>
    <w:rsid w:val="006841FE"/>
    <w:rsid w:val="00686095"/>
    <w:rsid w:val="00692482"/>
    <w:rsid w:val="006929D7"/>
    <w:rsid w:val="00693369"/>
    <w:rsid w:val="006942EC"/>
    <w:rsid w:val="00694BF9"/>
    <w:rsid w:val="00696F4F"/>
    <w:rsid w:val="006977FB"/>
    <w:rsid w:val="006979D8"/>
    <w:rsid w:val="006A3074"/>
    <w:rsid w:val="006A3292"/>
    <w:rsid w:val="006A5578"/>
    <w:rsid w:val="006A59B7"/>
    <w:rsid w:val="006A5BB7"/>
    <w:rsid w:val="006B2F4A"/>
    <w:rsid w:val="006B308B"/>
    <w:rsid w:val="006B3DD3"/>
    <w:rsid w:val="006B5572"/>
    <w:rsid w:val="006B5C62"/>
    <w:rsid w:val="006B6797"/>
    <w:rsid w:val="006B7B31"/>
    <w:rsid w:val="006C05A0"/>
    <w:rsid w:val="006C3040"/>
    <w:rsid w:val="006D32B3"/>
    <w:rsid w:val="006D5624"/>
    <w:rsid w:val="006D708B"/>
    <w:rsid w:val="006D7F3F"/>
    <w:rsid w:val="006E1FB0"/>
    <w:rsid w:val="006E2393"/>
    <w:rsid w:val="006E280C"/>
    <w:rsid w:val="006E3BD4"/>
    <w:rsid w:val="006E426A"/>
    <w:rsid w:val="006F23E2"/>
    <w:rsid w:val="006F2559"/>
    <w:rsid w:val="006F375A"/>
    <w:rsid w:val="006F5239"/>
    <w:rsid w:val="006F7922"/>
    <w:rsid w:val="00700A93"/>
    <w:rsid w:val="00703522"/>
    <w:rsid w:val="007040D9"/>
    <w:rsid w:val="00706513"/>
    <w:rsid w:val="0070708D"/>
    <w:rsid w:val="00712409"/>
    <w:rsid w:val="00712FB4"/>
    <w:rsid w:val="007147AE"/>
    <w:rsid w:val="0071555B"/>
    <w:rsid w:val="00716887"/>
    <w:rsid w:val="00722BE2"/>
    <w:rsid w:val="00723857"/>
    <w:rsid w:val="007260EF"/>
    <w:rsid w:val="00726F74"/>
    <w:rsid w:val="00727267"/>
    <w:rsid w:val="00730941"/>
    <w:rsid w:val="0073270A"/>
    <w:rsid w:val="007335DF"/>
    <w:rsid w:val="00735A9E"/>
    <w:rsid w:val="0073713F"/>
    <w:rsid w:val="0074121C"/>
    <w:rsid w:val="00743AD5"/>
    <w:rsid w:val="0074417E"/>
    <w:rsid w:val="00746013"/>
    <w:rsid w:val="0075790B"/>
    <w:rsid w:val="00762F60"/>
    <w:rsid w:val="00765B3E"/>
    <w:rsid w:val="00770DB9"/>
    <w:rsid w:val="007739F6"/>
    <w:rsid w:val="00774CCD"/>
    <w:rsid w:val="0077559F"/>
    <w:rsid w:val="007755EB"/>
    <w:rsid w:val="00775DD0"/>
    <w:rsid w:val="0078038B"/>
    <w:rsid w:val="00781DFB"/>
    <w:rsid w:val="00783D0A"/>
    <w:rsid w:val="007855BF"/>
    <w:rsid w:val="007937ED"/>
    <w:rsid w:val="00793819"/>
    <w:rsid w:val="00793BA2"/>
    <w:rsid w:val="0079438D"/>
    <w:rsid w:val="0079606E"/>
    <w:rsid w:val="007A064D"/>
    <w:rsid w:val="007A0F10"/>
    <w:rsid w:val="007A1C94"/>
    <w:rsid w:val="007A45CC"/>
    <w:rsid w:val="007A6917"/>
    <w:rsid w:val="007B0B03"/>
    <w:rsid w:val="007B1C27"/>
    <w:rsid w:val="007B1DDF"/>
    <w:rsid w:val="007B39D7"/>
    <w:rsid w:val="007B53F2"/>
    <w:rsid w:val="007B565F"/>
    <w:rsid w:val="007B6D3C"/>
    <w:rsid w:val="007B7A45"/>
    <w:rsid w:val="007C0B46"/>
    <w:rsid w:val="007C28F9"/>
    <w:rsid w:val="007C2D25"/>
    <w:rsid w:val="007D2D5D"/>
    <w:rsid w:val="007D7D80"/>
    <w:rsid w:val="007E1976"/>
    <w:rsid w:val="007E1F53"/>
    <w:rsid w:val="007E3E00"/>
    <w:rsid w:val="007E3E39"/>
    <w:rsid w:val="007E3FD6"/>
    <w:rsid w:val="007E4E52"/>
    <w:rsid w:val="007F4C69"/>
    <w:rsid w:val="007F69DD"/>
    <w:rsid w:val="007F7605"/>
    <w:rsid w:val="00800C32"/>
    <w:rsid w:val="00801A90"/>
    <w:rsid w:val="00802A8F"/>
    <w:rsid w:val="00802B3A"/>
    <w:rsid w:val="008034BD"/>
    <w:rsid w:val="008041D3"/>
    <w:rsid w:val="00807ECF"/>
    <w:rsid w:val="00811FDA"/>
    <w:rsid w:val="0081659E"/>
    <w:rsid w:val="00816905"/>
    <w:rsid w:val="00820090"/>
    <w:rsid w:val="00820C73"/>
    <w:rsid w:val="008215C7"/>
    <w:rsid w:val="00822163"/>
    <w:rsid w:val="008248EE"/>
    <w:rsid w:val="00824A2D"/>
    <w:rsid w:val="00826026"/>
    <w:rsid w:val="00827659"/>
    <w:rsid w:val="00830569"/>
    <w:rsid w:val="0083206D"/>
    <w:rsid w:val="008328CE"/>
    <w:rsid w:val="00833466"/>
    <w:rsid w:val="008340F7"/>
    <w:rsid w:val="008350FF"/>
    <w:rsid w:val="008353DB"/>
    <w:rsid w:val="008359B7"/>
    <w:rsid w:val="008360C3"/>
    <w:rsid w:val="00837E22"/>
    <w:rsid w:val="00842ADC"/>
    <w:rsid w:val="0084336F"/>
    <w:rsid w:val="00845213"/>
    <w:rsid w:val="00846E40"/>
    <w:rsid w:val="00852583"/>
    <w:rsid w:val="008527A9"/>
    <w:rsid w:val="00853EBA"/>
    <w:rsid w:val="00860BAC"/>
    <w:rsid w:val="0086400C"/>
    <w:rsid w:val="00864BE1"/>
    <w:rsid w:val="00872C33"/>
    <w:rsid w:val="00874754"/>
    <w:rsid w:val="00877F75"/>
    <w:rsid w:val="00884D85"/>
    <w:rsid w:val="008861BC"/>
    <w:rsid w:val="00886A32"/>
    <w:rsid w:val="00892A17"/>
    <w:rsid w:val="00892AEB"/>
    <w:rsid w:val="00893D8E"/>
    <w:rsid w:val="00893E9F"/>
    <w:rsid w:val="008A0AA2"/>
    <w:rsid w:val="008A27C3"/>
    <w:rsid w:val="008A2A22"/>
    <w:rsid w:val="008A3FD0"/>
    <w:rsid w:val="008A430E"/>
    <w:rsid w:val="008B1D9B"/>
    <w:rsid w:val="008B4491"/>
    <w:rsid w:val="008B6E81"/>
    <w:rsid w:val="008C094A"/>
    <w:rsid w:val="008C0F7D"/>
    <w:rsid w:val="008C3993"/>
    <w:rsid w:val="008C595C"/>
    <w:rsid w:val="008C7016"/>
    <w:rsid w:val="008D277E"/>
    <w:rsid w:val="008D457A"/>
    <w:rsid w:val="008D6096"/>
    <w:rsid w:val="008E1C00"/>
    <w:rsid w:val="008E2CFE"/>
    <w:rsid w:val="008E3838"/>
    <w:rsid w:val="008E71BC"/>
    <w:rsid w:val="008E79B5"/>
    <w:rsid w:val="008F2534"/>
    <w:rsid w:val="008F4B57"/>
    <w:rsid w:val="00900695"/>
    <w:rsid w:val="00900AE6"/>
    <w:rsid w:val="00902F6F"/>
    <w:rsid w:val="009032F8"/>
    <w:rsid w:val="0090513E"/>
    <w:rsid w:val="00906456"/>
    <w:rsid w:val="00907A2F"/>
    <w:rsid w:val="00916741"/>
    <w:rsid w:val="009170E6"/>
    <w:rsid w:val="009173D5"/>
    <w:rsid w:val="00917469"/>
    <w:rsid w:val="00920D88"/>
    <w:rsid w:val="00923EA7"/>
    <w:rsid w:val="00925481"/>
    <w:rsid w:val="00930110"/>
    <w:rsid w:val="00931630"/>
    <w:rsid w:val="0093181C"/>
    <w:rsid w:val="00933D65"/>
    <w:rsid w:val="00934C0C"/>
    <w:rsid w:val="0093608D"/>
    <w:rsid w:val="009363E9"/>
    <w:rsid w:val="0093790C"/>
    <w:rsid w:val="0094020E"/>
    <w:rsid w:val="0094069D"/>
    <w:rsid w:val="00942E3F"/>
    <w:rsid w:val="0094411B"/>
    <w:rsid w:val="00947EAB"/>
    <w:rsid w:val="0095049F"/>
    <w:rsid w:val="00951EDF"/>
    <w:rsid w:val="009575D2"/>
    <w:rsid w:val="00962806"/>
    <w:rsid w:val="00962DB9"/>
    <w:rsid w:val="00963717"/>
    <w:rsid w:val="009655EE"/>
    <w:rsid w:val="0096623A"/>
    <w:rsid w:val="009676EB"/>
    <w:rsid w:val="00970AD3"/>
    <w:rsid w:val="00971014"/>
    <w:rsid w:val="0097223F"/>
    <w:rsid w:val="00975088"/>
    <w:rsid w:val="00975A53"/>
    <w:rsid w:val="00975F05"/>
    <w:rsid w:val="009769B1"/>
    <w:rsid w:val="00977DD6"/>
    <w:rsid w:val="00980EFC"/>
    <w:rsid w:val="00981468"/>
    <w:rsid w:val="00981FD0"/>
    <w:rsid w:val="00983BED"/>
    <w:rsid w:val="0098539E"/>
    <w:rsid w:val="009858A7"/>
    <w:rsid w:val="00985F77"/>
    <w:rsid w:val="00986561"/>
    <w:rsid w:val="00987C30"/>
    <w:rsid w:val="00987EF2"/>
    <w:rsid w:val="009905D3"/>
    <w:rsid w:val="00991BEB"/>
    <w:rsid w:val="00992E97"/>
    <w:rsid w:val="0099633D"/>
    <w:rsid w:val="009A4C01"/>
    <w:rsid w:val="009B0237"/>
    <w:rsid w:val="009B13C2"/>
    <w:rsid w:val="009B296E"/>
    <w:rsid w:val="009B4C8E"/>
    <w:rsid w:val="009B4D2E"/>
    <w:rsid w:val="009B5BA4"/>
    <w:rsid w:val="009C0B77"/>
    <w:rsid w:val="009C185F"/>
    <w:rsid w:val="009C3863"/>
    <w:rsid w:val="009C519E"/>
    <w:rsid w:val="009D0221"/>
    <w:rsid w:val="009D0447"/>
    <w:rsid w:val="009D4A21"/>
    <w:rsid w:val="009D5928"/>
    <w:rsid w:val="009E0AD5"/>
    <w:rsid w:val="009E2757"/>
    <w:rsid w:val="009E4C76"/>
    <w:rsid w:val="009E5CD1"/>
    <w:rsid w:val="009F0106"/>
    <w:rsid w:val="009F01B1"/>
    <w:rsid w:val="009F0493"/>
    <w:rsid w:val="009F0B21"/>
    <w:rsid w:val="009F249B"/>
    <w:rsid w:val="009F3BF7"/>
    <w:rsid w:val="009F5521"/>
    <w:rsid w:val="00A0146F"/>
    <w:rsid w:val="00A021FD"/>
    <w:rsid w:val="00A042D8"/>
    <w:rsid w:val="00A048D3"/>
    <w:rsid w:val="00A102E1"/>
    <w:rsid w:val="00A11278"/>
    <w:rsid w:val="00A11AEF"/>
    <w:rsid w:val="00A139BE"/>
    <w:rsid w:val="00A14582"/>
    <w:rsid w:val="00A16858"/>
    <w:rsid w:val="00A17DAD"/>
    <w:rsid w:val="00A217F0"/>
    <w:rsid w:val="00A21A94"/>
    <w:rsid w:val="00A21E83"/>
    <w:rsid w:val="00A24415"/>
    <w:rsid w:val="00A25C3C"/>
    <w:rsid w:val="00A27365"/>
    <w:rsid w:val="00A313C2"/>
    <w:rsid w:val="00A3405C"/>
    <w:rsid w:val="00A36E2C"/>
    <w:rsid w:val="00A37755"/>
    <w:rsid w:val="00A40888"/>
    <w:rsid w:val="00A4202C"/>
    <w:rsid w:val="00A42C53"/>
    <w:rsid w:val="00A430BB"/>
    <w:rsid w:val="00A4336D"/>
    <w:rsid w:val="00A452D8"/>
    <w:rsid w:val="00A4570B"/>
    <w:rsid w:val="00A507D7"/>
    <w:rsid w:val="00A51D09"/>
    <w:rsid w:val="00A52943"/>
    <w:rsid w:val="00A53FFF"/>
    <w:rsid w:val="00A547D2"/>
    <w:rsid w:val="00A54EC1"/>
    <w:rsid w:val="00A55149"/>
    <w:rsid w:val="00A5550B"/>
    <w:rsid w:val="00A61AB9"/>
    <w:rsid w:val="00A664A7"/>
    <w:rsid w:val="00A705DF"/>
    <w:rsid w:val="00A71F66"/>
    <w:rsid w:val="00A73743"/>
    <w:rsid w:val="00A738FB"/>
    <w:rsid w:val="00A74BEB"/>
    <w:rsid w:val="00A7613F"/>
    <w:rsid w:val="00A76186"/>
    <w:rsid w:val="00A76815"/>
    <w:rsid w:val="00A76E46"/>
    <w:rsid w:val="00A80A4A"/>
    <w:rsid w:val="00A81245"/>
    <w:rsid w:val="00A82013"/>
    <w:rsid w:val="00A83E2B"/>
    <w:rsid w:val="00A86448"/>
    <w:rsid w:val="00A86BE4"/>
    <w:rsid w:val="00A872C0"/>
    <w:rsid w:val="00A9090D"/>
    <w:rsid w:val="00A93ABD"/>
    <w:rsid w:val="00A96301"/>
    <w:rsid w:val="00AA1174"/>
    <w:rsid w:val="00AA2A42"/>
    <w:rsid w:val="00AA5F55"/>
    <w:rsid w:val="00AA6014"/>
    <w:rsid w:val="00AB0ECD"/>
    <w:rsid w:val="00AB1FAC"/>
    <w:rsid w:val="00AB23BF"/>
    <w:rsid w:val="00AB469C"/>
    <w:rsid w:val="00AB4C18"/>
    <w:rsid w:val="00AB69B4"/>
    <w:rsid w:val="00AC05F0"/>
    <w:rsid w:val="00AC0AD8"/>
    <w:rsid w:val="00AC0B1F"/>
    <w:rsid w:val="00AC1B47"/>
    <w:rsid w:val="00AC28B7"/>
    <w:rsid w:val="00AC3B35"/>
    <w:rsid w:val="00AC4FF4"/>
    <w:rsid w:val="00AC5009"/>
    <w:rsid w:val="00AC57F8"/>
    <w:rsid w:val="00AC64F1"/>
    <w:rsid w:val="00AC7C2C"/>
    <w:rsid w:val="00AD1311"/>
    <w:rsid w:val="00AD1600"/>
    <w:rsid w:val="00AD2936"/>
    <w:rsid w:val="00AD3FA0"/>
    <w:rsid w:val="00AD42B2"/>
    <w:rsid w:val="00AD518E"/>
    <w:rsid w:val="00AE1CAD"/>
    <w:rsid w:val="00AE2EAE"/>
    <w:rsid w:val="00AE6242"/>
    <w:rsid w:val="00AF231F"/>
    <w:rsid w:val="00AF27DF"/>
    <w:rsid w:val="00AF56E7"/>
    <w:rsid w:val="00B03808"/>
    <w:rsid w:val="00B05982"/>
    <w:rsid w:val="00B059C4"/>
    <w:rsid w:val="00B06F13"/>
    <w:rsid w:val="00B12238"/>
    <w:rsid w:val="00B14196"/>
    <w:rsid w:val="00B1423E"/>
    <w:rsid w:val="00B143DF"/>
    <w:rsid w:val="00B1615B"/>
    <w:rsid w:val="00B16CBB"/>
    <w:rsid w:val="00B21ADE"/>
    <w:rsid w:val="00B224B5"/>
    <w:rsid w:val="00B2259B"/>
    <w:rsid w:val="00B236C5"/>
    <w:rsid w:val="00B25C2D"/>
    <w:rsid w:val="00B26CAC"/>
    <w:rsid w:val="00B3094F"/>
    <w:rsid w:val="00B31CAA"/>
    <w:rsid w:val="00B3261F"/>
    <w:rsid w:val="00B32BA7"/>
    <w:rsid w:val="00B33C52"/>
    <w:rsid w:val="00B340E3"/>
    <w:rsid w:val="00B3544F"/>
    <w:rsid w:val="00B42ABD"/>
    <w:rsid w:val="00B42E21"/>
    <w:rsid w:val="00B4391A"/>
    <w:rsid w:val="00B46113"/>
    <w:rsid w:val="00B5062C"/>
    <w:rsid w:val="00B52843"/>
    <w:rsid w:val="00B548E4"/>
    <w:rsid w:val="00B55313"/>
    <w:rsid w:val="00B62B63"/>
    <w:rsid w:val="00B653BA"/>
    <w:rsid w:val="00B73576"/>
    <w:rsid w:val="00B75B5A"/>
    <w:rsid w:val="00B77768"/>
    <w:rsid w:val="00B81C9D"/>
    <w:rsid w:val="00B82BCE"/>
    <w:rsid w:val="00B834D0"/>
    <w:rsid w:val="00B83C08"/>
    <w:rsid w:val="00B841F2"/>
    <w:rsid w:val="00B84E4D"/>
    <w:rsid w:val="00B87622"/>
    <w:rsid w:val="00B94A06"/>
    <w:rsid w:val="00BA0ADD"/>
    <w:rsid w:val="00BA4D22"/>
    <w:rsid w:val="00BA544E"/>
    <w:rsid w:val="00BA591A"/>
    <w:rsid w:val="00BA7967"/>
    <w:rsid w:val="00BB00F4"/>
    <w:rsid w:val="00BB1196"/>
    <w:rsid w:val="00BB2BA5"/>
    <w:rsid w:val="00BB533A"/>
    <w:rsid w:val="00BB5F4E"/>
    <w:rsid w:val="00BB7D0A"/>
    <w:rsid w:val="00BC21AF"/>
    <w:rsid w:val="00BC6D9A"/>
    <w:rsid w:val="00BC7461"/>
    <w:rsid w:val="00BD1198"/>
    <w:rsid w:val="00BD23C8"/>
    <w:rsid w:val="00BD2D4B"/>
    <w:rsid w:val="00BD5369"/>
    <w:rsid w:val="00BD5EBA"/>
    <w:rsid w:val="00BE047A"/>
    <w:rsid w:val="00BE16E5"/>
    <w:rsid w:val="00BE1889"/>
    <w:rsid w:val="00BE4C34"/>
    <w:rsid w:val="00BF03D0"/>
    <w:rsid w:val="00BF0BEB"/>
    <w:rsid w:val="00BF406C"/>
    <w:rsid w:val="00BF4444"/>
    <w:rsid w:val="00BF492F"/>
    <w:rsid w:val="00BF5600"/>
    <w:rsid w:val="00BF5995"/>
    <w:rsid w:val="00C06F64"/>
    <w:rsid w:val="00C110FE"/>
    <w:rsid w:val="00C136DE"/>
    <w:rsid w:val="00C14838"/>
    <w:rsid w:val="00C16BF6"/>
    <w:rsid w:val="00C17434"/>
    <w:rsid w:val="00C2003D"/>
    <w:rsid w:val="00C224A8"/>
    <w:rsid w:val="00C229CE"/>
    <w:rsid w:val="00C22C90"/>
    <w:rsid w:val="00C249D8"/>
    <w:rsid w:val="00C26B2C"/>
    <w:rsid w:val="00C26D29"/>
    <w:rsid w:val="00C31BB1"/>
    <w:rsid w:val="00C32934"/>
    <w:rsid w:val="00C35364"/>
    <w:rsid w:val="00C35D4D"/>
    <w:rsid w:val="00C420F5"/>
    <w:rsid w:val="00C42D06"/>
    <w:rsid w:val="00C43663"/>
    <w:rsid w:val="00C44ECB"/>
    <w:rsid w:val="00C472B3"/>
    <w:rsid w:val="00C476FC"/>
    <w:rsid w:val="00C507CB"/>
    <w:rsid w:val="00C50FF2"/>
    <w:rsid w:val="00C51F2F"/>
    <w:rsid w:val="00C5289E"/>
    <w:rsid w:val="00C546C7"/>
    <w:rsid w:val="00C56BA6"/>
    <w:rsid w:val="00C60034"/>
    <w:rsid w:val="00C61B22"/>
    <w:rsid w:val="00C6374E"/>
    <w:rsid w:val="00C76CC2"/>
    <w:rsid w:val="00C81760"/>
    <w:rsid w:val="00C81B74"/>
    <w:rsid w:val="00C85957"/>
    <w:rsid w:val="00C8697A"/>
    <w:rsid w:val="00C937E1"/>
    <w:rsid w:val="00C942F4"/>
    <w:rsid w:val="00C944F2"/>
    <w:rsid w:val="00C95BED"/>
    <w:rsid w:val="00C976B5"/>
    <w:rsid w:val="00CA1DD6"/>
    <w:rsid w:val="00CA2423"/>
    <w:rsid w:val="00CA3BE0"/>
    <w:rsid w:val="00CA49FE"/>
    <w:rsid w:val="00CA5BA4"/>
    <w:rsid w:val="00CB1CE4"/>
    <w:rsid w:val="00CB5937"/>
    <w:rsid w:val="00CC0A3D"/>
    <w:rsid w:val="00CC47B0"/>
    <w:rsid w:val="00CC4C61"/>
    <w:rsid w:val="00CC541A"/>
    <w:rsid w:val="00CC7448"/>
    <w:rsid w:val="00CD1060"/>
    <w:rsid w:val="00CD10A4"/>
    <w:rsid w:val="00CD129E"/>
    <w:rsid w:val="00CD146B"/>
    <w:rsid w:val="00CD2767"/>
    <w:rsid w:val="00CD27D2"/>
    <w:rsid w:val="00CD2C17"/>
    <w:rsid w:val="00CD2D1E"/>
    <w:rsid w:val="00CD2ED0"/>
    <w:rsid w:val="00CD3700"/>
    <w:rsid w:val="00CD5171"/>
    <w:rsid w:val="00CD555B"/>
    <w:rsid w:val="00CD591F"/>
    <w:rsid w:val="00CD702B"/>
    <w:rsid w:val="00CE4799"/>
    <w:rsid w:val="00CE6804"/>
    <w:rsid w:val="00CF1E2C"/>
    <w:rsid w:val="00CF39DA"/>
    <w:rsid w:val="00CF64F2"/>
    <w:rsid w:val="00D05728"/>
    <w:rsid w:val="00D05796"/>
    <w:rsid w:val="00D102B2"/>
    <w:rsid w:val="00D11003"/>
    <w:rsid w:val="00D145AA"/>
    <w:rsid w:val="00D178CA"/>
    <w:rsid w:val="00D17B4C"/>
    <w:rsid w:val="00D20669"/>
    <w:rsid w:val="00D214EF"/>
    <w:rsid w:val="00D21CDE"/>
    <w:rsid w:val="00D229AC"/>
    <w:rsid w:val="00D24357"/>
    <w:rsid w:val="00D245E6"/>
    <w:rsid w:val="00D25739"/>
    <w:rsid w:val="00D27F3C"/>
    <w:rsid w:val="00D300F7"/>
    <w:rsid w:val="00D3143D"/>
    <w:rsid w:val="00D345BD"/>
    <w:rsid w:val="00D375A3"/>
    <w:rsid w:val="00D40375"/>
    <w:rsid w:val="00D4157E"/>
    <w:rsid w:val="00D417B9"/>
    <w:rsid w:val="00D41CDE"/>
    <w:rsid w:val="00D424CA"/>
    <w:rsid w:val="00D42D8A"/>
    <w:rsid w:val="00D43D17"/>
    <w:rsid w:val="00D5195E"/>
    <w:rsid w:val="00D52683"/>
    <w:rsid w:val="00D5294E"/>
    <w:rsid w:val="00D52EE3"/>
    <w:rsid w:val="00D5374C"/>
    <w:rsid w:val="00D5527C"/>
    <w:rsid w:val="00D55C50"/>
    <w:rsid w:val="00D653FC"/>
    <w:rsid w:val="00D70FDF"/>
    <w:rsid w:val="00D71083"/>
    <w:rsid w:val="00D71204"/>
    <w:rsid w:val="00D73FE4"/>
    <w:rsid w:val="00D74786"/>
    <w:rsid w:val="00D76216"/>
    <w:rsid w:val="00D82CBC"/>
    <w:rsid w:val="00D90508"/>
    <w:rsid w:val="00DA3638"/>
    <w:rsid w:val="00DA3F4B"/>
    <w:rsid w:val="00DA4111"/>
    <w:rsid w:val="00DA49A5"/>
    <w:rsid w:val="00DA6829"/>
    <w:rsid w:val="00DA769C"/>
    <w:rsid w:val="00DB066F"/>
    <w:rsid w:val="00DB0E83"/>
    <w:rsid w:val="00DB1353"/>
    <w:rsid w:val="00DB1835"/>
    <w:rsid w:val="00DB1D3B"/>
    <w:rsid w:val="00DB2375"/>
    <w:rsid w:val="00DB2B97"/>
    <w:rsid w:val="00DB43D2"/>
    <w:rsid w:val="00DB75AB"/>
    <w:rsid w:val="00DB7A79"/>
    <w:rsid w:val="00DC01D7"/>
    <w:rsid w:val="00DC16B4"/>
    <w:rsid w:val="00DC294D"/>
    <w:rsid w:val="00DC4731"/>
    <w:rsid w:val="00DC676C"/>
    <w:rsid w:val="00DD1A5B"/>
    <w:rsid w:val="00DD2562"/>
    <w:rsid w:val="00DD291F"/>
    <w:rsid w:val="00DD3079"/>
    <w:rsid w:val="00DD3A60"/>
    <w:rsid w:val="00DD3FF0"/>
    <w:rsid w:val="00DD7954"/>
    <w:rsid w:val="00DE0433"/>
    <w:rsid w:val="00DE3392"/>
    <w:rsid w:val="00DE3E88"/>
    <w:rsid w:val="00DE4548"/>
    <w:rsid w:val="00DE7EEE"/>
    <w:rsid w:val="00DF07F2"/>
    <w:rsid w:val="00DF0A5B"/>
    <w:rsid w:val="00DF20E8"/>
    <w:rsid w:val="00DF3183"/>
    <w:rsid w:val="00DF3C47"/>
    <w:rsid w:val="00DF5403"/>
    <w:rsid w:val="00DF558C"/>
    <w:rsid w:val="00DF6387"/>
    <w:rsid w:val="00E009A7"/>
    <w:rsid w:val="00E051A5"/>
    <w:rsid w:val="00E0571D"/>
    <w:rsid w:val="00E103AE"/>
    <w:rsid w:val="00E11BE0"/>
    <w:rsid w:val="00E12373"/>
    <w:rsid w:val="00E17734"/>
    <w:rsid w:val="00E17B17"/>
    <w:rsid w:val="00E17E4B"/>
    <w:rsid w:val="00E232FB"/>
    <w:rsid w:val="00E24E19"/>
    <w:rsid w:val="00E30BF0"/>
    <w:rsid w:val="00E30DE0"/>
    <w:rsid w:val="00E31162"/>
    <w:rsid w:val="00E33690"/>
    <w:rsid w:val="00E35401"/>
    <w:rsid w:val="00E36589"/>
    <w:rsid w:val="00E3724A"/>
    <w:rsid w:val="00E37D2A"/>
    <w:rsid w:val="00E404B9"/>
    <w:rsid w:val="00E415CD"/>
    <w:rsid w:val="00E42E48"/>
    <w:rsid w:val="00E439C5"/>
    <w:rsid w:val="00E443BF"/>
    <w:rsid w:val="00E451A5"/>
    <w:rsid w:val="00E45628"/>
    <w:rsid w:val="00E5071E"/>
    <w:rsid w:val="00E53269"/>
    <w:rsid w:val="00E53B81"/>
    <w:rsid w:val="00E557A0"/>
    <w:rsid w:val="00E55C8C"/>
    <w:rsid w:val="00E607E6"/>
    <w:rsid w:val="00E615CF"/>
    <w:rsid w:val="00E625DB"/>
    <w:rsid w:val="00E631EC"/>
    <w:rsid w:val="00E64AEB"/>
    <w:rsid w:val="00E66668"/>
    <w:rsid w:val="00E71C45"/>
    <w:rsid w:val="00E72871"/>
    <w:rsid w:val="00E73B23"/>
    <w:rsid w:val="00E73D68"/>
    <w:rsid w:val="00E73E93"/>
    <w:rsid w:val="00E75EFC"/>
    <w:rsid w:val="00E769D9"/>
    <w:rsid w:val="00E80A1C"/>
    <w:rsid w:val="00E8479F"/>
    <w:rsid w:val="00E84D96"/>
    <w:rsid w:val="00E941B1"/>
    <w:rsid w:val="00EA01F9"/>
    <w:rsid w:val="00EA15A8"/>
    <w:rsid w:val="00EA287F"/>
    <w:rsid w:val="00EB3B95"/>
    <w:rsid w:val="00EB3B99"/>
    <w:rsid w:val="00EB43E2"/>
    <w:rsid w:val="00EB49E1"/>
    <w:rsid w:val="00EC09BF"/>
    <w:rsid w:val="00EC3CD5"/>
    <w:rsid w:val="00EC5C85"/>
    <w:rsid w:val="00EC5CFD"/>
    <w:rsid w:val="00EC5E4D"/>
    <w:rsid w:val="00EC628B"/>
    <w:rsid w:val="00EC77F7"/>
    <w:rsid w:val="00ED11CD"/>
    <w:rsid w:val="00ED7E31"/>
    <w:rsid w:val="00EE28FA"/>
    <w:rsid w:val="00EE2DC8"/>
    <w:rsid w:val="00EE3C4B"/>
    <w:rsid w:val="00EF02AD"/>
    <w:rsid w:val="00EF5657"/>
    <w:rsid w:val="00EF78AD"/>
    <w:rsid w:val="00F001C4"/>
    <w:rsid w:val="00F03D21"/>
    <w:rsid w:val="00F05B37"/>
    <w:rsid w:val="00F06677"/>
    <w:rsid w:val="00F074DF"/>
    <w:rsid w:val="00F10726"/>
    <w:rsid w:val="00F1163B"/>
    <w:rsid w:val="00F12519"/>
    <w:rsid w:val="00F12A37"/>
    <w:rsid w:val="00F20656"/>
    <w:rsid w:val="00F228A5"/>
    <w:rsid w:val="00F22B20"/>
    <w:rsid w:val="00F22C54"/>
    <w:rsid w:val="00F24580"/>
    <w:rsid w:val="00F27E3B"/>
    <w:rsid w:val="00F30CB1"/>
    <w:rsid w:val="00F32501"/>
    <w:rsid w:val="00F338A5"/>
    <w:rsid w:val="00F34F85"/>
    <w:rsid w:val="00F37324"/>
    <w:rsid w:val="00F43ACE"/>
    <w:rsid w:val="00F46965"/>
    <w:rsid w:val="00F50474"/>
    <w:rsid w:val="00F50EC4"/>
    <w:rsid w:val="00F5243A"/>
    <w:rsid w:val="00F52C0F"/>
    <w:rsid w:val="00F5303B"/>
    <w:rsid w:val="00F5351D"/>
    <w:rsid w:val="00F54F2E"/>
    <w:rsid w:val="00F55B4E"/>
    <w:rsid w:val="00F560B6"/>
    <w:rsid w:val="00F603CA"/>
    <w:rsid w:val="00F629ED"/>
    <w:rsid w:val="00F65880"/>
    <w:rsid w:val="00F66B65"/>
    <w:rsid w:val="00F709DD"/>
    <w:rsid w:val="00F70A5C"/>
    <w:rsid w:val="00F71712"/>
    <w:rsid w:val="00F73F16"/>
    <w:rsid w:val="00F768F2"/>
    <w:rsid w:val="00F76B20"/>
    <w:rsid w:val="00F81087"/>
    <w:rsid w:val="00F825D4"/>
    <w:rsid w:val="00F82957"/>
    <w:rsid w:val="00F8303C"/>
    <w:rsid w:val="00F84189"/>
    <w:rsid w:val="00F84497"/>
    <w:rsid w:val="00F85CAF"/>
    <w:rsid w:val="00F879C7"/>
    <w:rsid w:val="00F948D7"/>
    <w:rsid w:val="00F94FF7"/>
    <w:rsid w:val="00F96C8E"/>
    <w:rsid w:val="00F96FAE"/>
    <w:rsid w:val="00F9705B"/>
    <w:rsid w:val="00FA0E83"/>
    <w:rsid w:val="00FA13D6"/>
    <w:rsid w:val="00FA367E"/>
    <w:rsid w:val="00FA65D8"/>
    <w:rsid w:val="00FA6B9A"/>
    <w:rsid w:val="00FA7F8D"/>
    <w:rsid w:val="00FB0FF4"/>
    <w:rsid w:val="00FB4010"/>
    <w:rsid w:val="00FB49A5"/>
    <w:rsid w:val="00FB6333"/>
    <w:rsid w:val="00FB7561"/>
    <w:rsid w:val="00FC1A92"/>
    <w:rsid w:val="00FC307C"/>
    <w:rsid w:val="00FC5096"/>
    <w:rsid w:val="00FC5A99"/>
    <w:rsid w:val="00FD1C02"/>
    <w:rsid w:val="00FD3B60"/>
    <w:rsid w:val="00FD4DC5"/>
    <w:rsid w:val="00FE2816"/>
    <w:rsid w:val="00FE4C19"/>
    <w:rsid w:val="00FE518B"/>
    <w:rsid w:val="00FF08F6"/>
    <w:rsid w:val="00FF29D1"/>
    <w:rsid w:val="00FF37D0"/>
    <w:rsid w:val="00FF42EC"/>
    <w:rsid w:val="00FF4C01"/>
    <w:rsid w:val="00FF4C64"/>
    <w:rsid w:val="00FF553A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7524D"/>
  <w15:chartTrackingRefBased/>
  <w15:docId w15:val="{2813A02F-4B63-4EDA-871C-742404C6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6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CAC"/>
  </w:style>
  <w:style w:type="paragraph" w:styleId="Zpat">
    <w:name w:val="footer"/>
    <w:basedOn w:val="Normln"/>
    <w:link w:val="ZpatChar"/>
    <w:uiPriority w:val="99"/>
    <w:unhideWhenUsed/>
    <w:rsid w:val="00B2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CAC"/>
  </w:style>
  <w:style w:type="character" w:styleId="Hypertextovodkaz">
    <w:name w:val="Hyperlink"/>
    <w:basedOn w:val="Standardnpsmoodstavce"/>
    <w:uiPriority w:val="99"/>
    <w:unhideWhenUsed/>
    <w:rsid w:val="001C0F44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EA15A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B2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2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2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3B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C09BF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48E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CB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6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32DF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E2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mdolana@ddem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>
                <a:solidFill>
                  <a:schemeClr val="tx1"/>
                </a:solidFill>
              </a:rPr>
              <a:t>Celkový</a:t>
            </a:r>
            <a:r>
              <a:rPr lang="cs-CZ" sz="1800" b="1" baseline="0">
                <a:solidFill>
                  <a:schemeClr val="tx1"/>
                </a:solidFill>
              </a:rPr>
              <a:t> p</a:t>
            </a:r>
            <a:r>
              <a:rPr lang="en-US" sz="1800" b="1">
                <a:solidFill>
                  <a:schemeClr val="tx1"/>
                </a:solidFill>
              </a:rPr>
              <a:t>očet energetických společenství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List1!$F$3</c:f>
              <c:strCache>
                <c:ptCount val="1"/>
                <c:pt idx="0">
                  <c:v>Počet energetických společenství</c:v>
                </c:pt>
              </c:strCache>
            </c:strRef>
          </c:tx>
          <c:spPr>
            <a:ln w="28575" cap="rnd">
              <a:solidFill>
                <a:srgbClr val="70AD47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E9-4CFD-B877-A7065FBC14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List1!$E$4:$E$17</c:f>
              <c:numCache>
                <c:formatCode>mmm\-yy</c:formatCode>
                <c:ptCount val="14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  <c:pt idx="11">
                  <c:v>45992</c:v>
                </c:pt>
                <c:pt idx="12">
                  <c:v>46023</c:v>
                </c:pt>
                <c:pt idx="13">
                  <c:v>46054</c:v>
                </c:pt>
              </c:numCache>
            </c:numRef>
          </c:cat>
          <c:val>
            <c:numRef>
              <c:f>List1!$F$4:$F$17</c:f>
              <c:numCache>
                <c:formatCode>General</c:formatCode>
                <c:ptCount val="14"/>
                <c:pt idx="0">
                  <c:v>0</c:v>
                </c:pt>
                <c:pt idx="1">
                  <c:v>7</c:v>
                </c:pt>
                <c:pt idx="2">
                  <c:v>15</c:v>
                </c:pt>
                <c:pt idx="3">
                  <c:v>24</c:v>
                </c:pt>
                <c:pt idx="4">
                  <c:v>30</c:v>
                </c:pt>
                <c:pt idx="5">
                  <c:v>34</c:v>
                </c:pt>
                <c:pt idx="6">
                  <c:v>41</c:v>
                </c:pt>
                <c:pt idx="7">
                  <c:v>49</c:v>
                </c:pt>
                <c:pt idx="8">
                  <c:v>66</c:v>
                </c:pt>
                <c:pt idx="9">
                  <c:v>79</c:v>
                </c:pt>
                <c:pt idx="10">
                  <c:v>82</c:v>
                </c:pt>
                <c:pt idx="11">
                  <c:v>85</c:v>
                </c:pt>
                <c:pt idx="12">
                  <c:v>94</c:v>
                </c:pt>
                <c:pt idx="13">
                  <c:v>106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E9-4CFD-B877-A7065FBC14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2796032"/>
        <c:axId val="526826152"/>
      </c:lineChart>
      <c:dateAx>
        <c:axId val="39279603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26826152"/>
        <c:crosses val="autoZero"/>
        <c:auto val="1"/>
        <c:lblOffset val="100"/>
        <c:baseTimeUnit val="months"/>
      </c:dateAx>
      <c:valAx>
        <c:axId val="526826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92796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28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cs-CZ" sz="1800">
                <a:solidFill>
                  <a:schemeClr val="tx1"/>
                </a:solidFill>
              </a:rPr>
              <a:t>Množství nasdílené elektřiny (MWh</a:t>
            </a:r>
            <a:r>
              <a:rPr lang="cs-CZ"/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28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Množství nasdílené elektřiny (MWh)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5B6-412D-AD06-7084F4508BAE}"/>
              </c:ext>
            </c:extLst>
          </c:dPt>
          <c:dLbls>
            <c:dLbl>
              <c:idx val="9"/>
              <c:layout>
                <c:manualLayout>
                  <c:x val="-3.1250000000000118E-2"/>
                  <c:y val="-3.5155325101173837E-3"/>
                </c:manualLayout>
              </c:layout>
              <c:numFmt formatCode="#,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8468750000000004E-2"/>
                      <c:h val="4.361718481685624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5B6-412D-AD06-7084F4508BAE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List1!$A$2:$A$19</c:f>
              <c:strCache>
                <c:ptCount val="18"/>
                <c:pt idx="0">
                  <c:v>IX.24</c:v>
                </c:pt>
                <c:pt idx="1">
                  <c:v>X.24</c:v>
                </c:pt>
                <c:pt idx="2">
                  <c:v>XI.24</c:v>
                </c:pt>
                <c:pt idx="3">
                  <c:v>XII.24</c:v>
                </c:pt>
                <c:pt idx="4">
                  <c:v>I.25</c:v>
                </c:pt>
                <c:pt idx="5">
                  <c:v>II.25</c:v>
                </c:pt>
                <c:pt idx="6">
                  <c:v>III.25</c:v>
                </c:pt>
                <c:pt idx="7">
                  <c:v>IV.25</c:v>
                </c:pt>
                <c:pt idx="8">
                  <c:v>V.25</c:v>
                </c:pt>
                <c:pt idx="9">
                  <c:v>VI.25</c:v>
                </c:pt>
                <c:pt idx="10">
                  <c:v>VII.25</c:v>
                </c:pt>
                <c:pt idx="11">
                  <c:v>VIII.25</c:v>
                </c:pt>
                <c:pt idx="12">
                  <c:v>IX.25</c:v>
                </c:pt>
                <c:pt idx="13">
                  <c:v>X.25</c:v>
                </c:pt>
                <c:pt idx="14">
                  <c:v>XI.25</c:v>
                </c:pt>
                <c:pt idx="15">
                  <c:v>XII.25</c:v>
                </c:pt>
                <c:pt idx="16">
                  <c:v>I.26</c:v>
                </c:pt>
                <c:pt idx="17">
                  <c:v>II.26</c:v>
                </c:pt>
              </c:strCache>
            </c:strRef>
          </c:cat>
          <c:val>
            <c:numRef>
              <c:f>List1!$B$2:$B$19</c:f>
              <c:numCache>
                <c:formatCode>#,##0.00</c:formatCode>
                <c:ptCount val="18"/>
                <c:pt idx="0">
                  <c:v>150.58000000000001</c:v>
                </c:pt>
                <c:pt idx="1">
                  <c:v>321.93</c:v>
                </c:pt>
                <c:pt idx="2">
                  <c:v>265.83</c:v>
                </c:pt>
                <c:pt idx="3">
                  <c:v>320.14999999999998</c:v>
                </c:pt>
                <c:pt idx="4">
                  <c:v>527.03</c:v>
                </c:pt>
                <c:pt idx="5">
                  <c:v>1565.35</c:v>
                </c:pt>
                <c:pt idx="6">
                  <c:v>3073.95</c:v>
                </c:pt>
                <c:pt idx="7">
                  <c:v>4676.7</c:v>
                </c:pt>
                <c:pt idx="8">
                  <c:v>6113.01</c:v>
                </c:pt>
                <c:pt idx="9">
                  <c:v>8216.94</c:v>
                </c:pt>
                <c:pt idx="10">
                  <c:v>8242.5300000000007</c:v>
                </c:pt>
                <c:pt idx="11">
                  <c:v>9540</c:v>
                </c:pt>
                <c:pt idx="12">
                  <c:v>7210.92</c:v>
                </c:pt>
                <c:pt idx="13">
                  <c:v>4686.96</c:v>
                </c:pt>
                <c:pt idx="14">
                  <c:v>3075.69</c:v>
                </c:pt>
                <c:pt idx="15">
                  <c:v>2214.69</c:v>
                </c:pt>
                <c:pt idx="16">
                  <c:v>3236.15</c:v>
                </c:pt>
                <c:pt idx="17">
                  <c:v>4484.82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B6-412D-AD06-7084F4508B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25051328"/>
        <c:axId val="1825053248"/>
      </c:barChart>
      <c:catAx>
        <c:axId val="182505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25053248"/>
        <c:crosses val="autoZero"/>
        <c:auto val="1"/>
        <c:lblAlgn val="ctr"/>
        <c:lblOffset val="100"/>
        <c:noMultiLvlLbl val="1"/>
      </c:catAx>
      <c:valAx>
        <c:axId val="182505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25051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Počet registrovaných žádostí sdílení elektřiny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763681102362205E-2"/>
                  <c:y val="7.031249567467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64-461A-B3EF-3AE6C983D3FF}"/>
                </c:ext>
              </c:extLst>
            </c:dLbl>
            <c:dLbl>
              <c:idx val="1"/>
              <c:layout>
                <c:manualLayout>
                  <c:x val="-2.4199311023622046E-2"/>
                  <c:y val="7.031249567467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64-461A-B3EF-3AE6C983D3FF}"/>
                </c:ext>
              </c:extLst>
            </c:dLbl>
            <c:dLbl>
              <c:idx val="2"/>
              <c:layout>
                <c:manualLayout>
                  <c:x val="-2.4199311023622046E-2"/>
                  <c:y val="5.6249996539739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64-461A-B3EF-3AE6C983D3FF}"/>
                </c:ext>
              </c:extLst>
            </c:dLbl>
            <c:dLbl>
              <c:idx val="3"/>
              <c:layout>
                <c:manualLayout>
                  <c:x val="-1.6386811023622046E-2"/>
                  <c:y val="6.0937496251384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64-461A-B3EF-3AE6C983D3FF}"/>
                </c:ext>
              </c:extLst>
            </c:dLbl>
            <c:dLbl>
              <c:idx val="4"/>
              <c:layout>
                <c:manualLayout>
                  <c:x val="-1.6386811023622046E-2"/>
                  <c:y val="5.8593746395561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64-461A-B3EF-3AE6C983D3FF}"/>
                </c:ext>
              </c:extLst>
            </c:dLbl>
            <c:dLbl>
              <c:idx val="5"/>
              <c:layout>
                <c:manualLayout>
                  <c:x val="-1.3261811023622162E-2"/>
                  <c:y val="4.92187469722718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64-461A-B3EF-3AE6C983D3FF}"/>
                </c:ext>
              </c:extLst>
            </c:dLbl>
            <c:dLbl>
              <c:idx val="6"/>
              <c:layout>
                <c:manualLayout>
                  <c:x val="-2.1074311023622047E-2"/>
                  <c:y val="4.687499711644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964-461A-B3EF-3AE6C983D3FF}"/>
                </c:ext>
              </c:extLst>
            </c:dLbl>
            <c:dLbl>
              <c:idx val="7"/>
              <c:layout>
                <c:manualLayout>
                  <c:x val="-2.6097687007874015E-2"/>
                  <c:y val="4.9218746972271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964-461A-B3EF-3AE6C983D3FF}"/>
                </c:ext>
              </c:extLst>
            </c:dLbl>
            <c:dLbl>
              <c:idx val="8"/>
              <c:layout>
                <c:manualLayout>
                  <c:x val="-4.3285187007874017E-2"/>
                  <c:y val="4.6874997116449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964-461A-B3EF-3AE6C983D3FF}"/>
                </c:ext>
              </c:extLst>
            </c:dLbl>
            <c:dLbl>
              <c:idx val="9"/>
              <c:layout>
                <c:manualLayout>
                  <c:x val="-4.1386811023622044E-2"/>
                  <c:y val="5.8593746395561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964-461A-B3EF-3AE6C983D3FF}"/>
                </c:ext>
              </c:extLst>
            </c:dLbl>
            <c:dLbl>
              <c:idx val="10"/>
              <c:layout>
                <c:manualLayout>
                  <c:x val="-4.4847687007874129E-2"/>
                  <c:y val="5.85937463955617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964-461A-B3EF-3AE6C983D3FF}"/>
                </c:ext>
              </c:extLst>
            </c:dLbl>
            <c:dLbl>
              <c:idx val="11"/>
              <c:layout>
                <c:manualLayout>
                  <c:x val="-4.9535187007874133E-2"/>
                  <c:y val="4.9218746972271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964-461A-B3EF-3AE6C983D3FF}"/>
                </c:ext>
              </c:extLst>
            </c:dLbl>
            <c:dLbl>
              <c:idx val="12"/>
              <c:layout>
                <c:manualLayout>
                  <c:x val="-4.6410187007874013E-2"/>
                  <c:y val="5.3906246683916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964-461A-B3EF-3AE6C983D3FF}"/>
                </c:ext>
              </c:extLst>
            </c:dLbl>
            <c:dLbl>
              <c:idx val="13"/>
              <c:layout>
                <c:manualLayout>
                  <c:x val="-4.4847687007874018E-2"/>
                  <c:y val="5.6249996539739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964-461A-B3EF-3AE6C983D3FF}"/>
                </c:ext>
              </c:extLst>
            </c:dLbl>
            <c:dLbl>
              <c:idx val="14"/>
              <c:layout>
                <c:manualLayout>
                  <c:x val="-4.4847687007874018E-2"/>
                  <c:y val="4.6874997116449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964-461A-B3EF-3AE6C983D3FF}"/>
                </c:ext>
              </c:extLst>
            </c:dLbl>
            <c:dLbl>
              <c:idx val="15"/>
              <c:layout>
                <c:manualLayout>
                  <c:x val="-2.9222687007874015E-2"/>
                  <c:y val="3.5156247837337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964-461A-B3EF-3AE6C983D3FF}"/>
                </c:ext>
              </c:extLst>
            </c:dLbl>
            <c:dLbl>
              <c:idx val="16"/>
              <c:layout>
                <c:manualLayout>
                  <c:x val="-2.6601870078740157E-3"/>
                  <c:y val="3.2812497981514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964-461A-B3EF-3AE6C983D3FF}"/>
                </c:ext>
              </c:extLst>
            </c:dLbl>
            <c:dLbl>
              <c:idx val="17"/>
              <c:layout>
                <c:manualLayout>
                  <c:x val="-9.2007874015749176E-3"/>
                  <c:y val="-3.28124979815146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964-461A-B3EF-3AE6C983D3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List1!$A$2:$A$19</c:f>
              <c:strCache>
                <c:ptCount val="18"/>
                <c:pt idx="0">
                  <c:v>IX.24</c:v>
                </c:pt>
                <c:pt idx="1">
                  <c:v>X.24</c:v>
                </c:pt>
                <c:pt idx="2">
                  <c:v>XI.24</c:v>
                </c:pt>
                <c:pt idx="3">
                  <c:v>XII.24</c:v>
                </c:pt>
                <c:pt idx="4">
                  <c:v>I.25</c:v>
                </c:pt>
                <c:pt idx="5">
                  <c:v>II.25</c:v>
                </c:pt>
                <c:pt idx="6">
                  <c:v>III.25</c:v>
                </c:pt>
                <c:pt idx="7">
                  <c:v>IV.25</c:v>
                </c:pt>
                <c:pt idx="8">
                  <c:v>V.25</c:v>
                </c:pt>
                <c:pt idx="9">
                  <c:v>VI.25</c:v>
                </c:pt>
                <c:pt idx="10">
                  <c:v>VII.25</c:v>
                </c:pt>
                <c:pt idx="11">
                  <c:v>VIII.25</c:v>
                </c:pt>
                <c:pt idx="12">
                  <c:v>IX.25</c:v>
                </c:pt>
                <c:pt idx="13">
                  <c:v>X.25</c:v>
                </c:pt>
                <c:pt idx="14">
                  <c:v>XI.25</c:v>
                </c:pt>
                <c:pt idx="15">
                  <c:v>XII.25</c:v>
                </c:pt>
                <c:pt idx="16">
                  <c:v>I.26</c:v>
                </c:pt>
                <c:pt idx="17">
                  <c:v>II.26</c:v>
                </c:pt>
              </c:strCache>
            </c:strRef>
          </c:cat>
          <c:val>
            <c:numRef>
              <c:f>List1!$B$2:$B$19</c:f>
              <c:numCache>
                <c:formatCode>#,##0</c:formatCode>
                <c:ptCount val="18"/>
                <c:pt idx="0">
                  <c:v>10454</c:v>
                </c:pt>
                <c:pt idx="1">
                  <c:v>11954</c:v>
                </c:pt>
                <c:pt idx="2">
                  <c:v>13349</c:v>
                </c:pt>
                <c:pt idx="3">
                  <c:v>14146</c:v>
                </c:pt>
                <c:pt idx="4">
                  <c:v>15810</c:v>
                </c:pt>
                <c:pt idx="5">
                  <c:v>17806</c:v>
                </c:pt>
                <c:pt idx="6">
                  <c:v>20581</c:v>
                </c:pt>
                <c:pt idx="7">
                  <c:v>22880</c:v>
                </c:pt>
                <c:pt idx="8">
                  <c:v>25232</c:v>
                </c:pt>
                <c:pt idx="9">
                  <c:v>27580</c:v>
                </c:pt>
                <c:pt idx="10">
                  <c:v>29690</c:v>
                </c:pt>
                <c:pt idx="11">
                  <c:v>31381</c:v>
                </c:pt>
                <c:pt idx="12">
                  <c:v>32898</c:v>
                </c:pt>
                <c:pt idx="13">
                  <c:v>34183</c:v>
                </c:pt>
                <c:pt idx="14">
                  <c:v>35244</c:v>
                </c:pt>
                <c:pt idx="15">
                  <c:v>36051</c:v>
                </c:pt>
                <c:pt idx="16">
                  <c:v>37252</c:v>
                </c:pt>
                <c:pt idx="17">
                  <c:v>38817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4964-461A-B3EF-3AE6C983D3F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48408591"/>
        <c:axId val="648404751"/>
      </c:lineChart>
      <c:catAx>
        <c:axId val="648408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48404751"/>
        <c:crosses val="autoZero"/>
        <c:auto val="1"/>
        <c:lblAlgn val="ctr"/>
        <c:lblOffset val="100"/>
        <c:noMultiLvlLbl val="1"/>
      </c:catAx>
      <c:valAx>
        <c:axId val="6484047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484085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2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cs-CZ" sz="1800" cap="none">
                <a:solidFill>
                  <a:schemeClr val="tx1"/>
                </a:solidFill>
              </a:rPr>
              <a:t>Počet výrobních a odběrných míst zapojených do sdílení elektřiny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20" normalizeH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Počet výrobních míst zapojených do sdílení (EANd)</c:v>
                </c:pt>
              </c:strCache>
            </c:strRef>
          </c:tx>
          <c:spPr>
            <a:solidFill>
              <a:schemeClr val="accent6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64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List1!$A$2:$A$15</c:f>
              <c:strCache>
                <c:ptCount val="14"/>
                <c:pt idx="0">
                  <c:v>I.25</c:v>
                </c:pt>
                <c:pt idx="1">
                  <c:v>II.25</c:v>
                </c:pt>
                <c:pt idx="2">
                  <c:v>III.25</c:v>
                </c:pt>
                <c:pt idx="3">
                  <c:v>IV.25</c:v>
                </c:pt>
                <c:pt idx="4">
                  <c:v>V.25</c:v>
                </c:pt>
                <c:pt idx="5">
                  <c:v>VI.25</c:v>
                </c:pt>
                <c:pt idx="6">
                  <c:v>VII.25</c:v>
                </c:pt>
                <c:pt idx="7">
                  <c:v>VIII.25</c:v>
                </c:pt>
                <c:pt idx="8">
                  <c:v>IX.25</c:v>
                </c:pt>
                <c:pt idx="9">
                  <c:v>X.25</c:v>
                </c:pt>
                <c:pt idx="10">
                  <c:v>XI.25</c:v>
                </c:pt>
                <c:pt idx="11">
                  <c:v>XII.25</c:v>
                </c:pt>
                <c:pt idx="12">
                  <c:v>I.26</c:v>
                </c:pt>
                <c:pt idx="13">
                  <c:v>II.26</c:v>
                </c:pt>
              </c:strCache>
            </c:strRef>
          </c:cat>
          <c:val>
            <c:numRef>
              <c:f>List1!$B$2:$B$15</c:f>
              <c:numCache>
                <c:formatCode>#,##0</c:formatCode>
                <c:ptCount val="14"/>
                <c:pt idx="0">
                  <c:v>6691</c:v>
                </c:pt>
                <c:pt idx="1">
                  <c:v>7682</c:v>
                </c:pt>
                <c:pt idx="2">
                  <c:v>9356</c:v>
                </c:pt>
                <c:pt idx="3">
                  <c:v>11096</c:v>
                </c:pt>
                <c:pt idx="4">
                  <c:v>12938</c:v>
                </c:pt>
                <c:pt idx="5">
                  <c:v>14734</c:v>
                </c:pt>
                <c:pt idx="6">
                  <c:v>16861</c:v>
                </c:pt>
                <c:pt idx="7">
                  <c:v>18322</c:v>
                </c:pt>
                <c:pt idx="8">
                  <c:v>19661</c:v>
                </c:pt>
                <c:pt idx="9">
                  <c:v>20781</c:v>
                </c:pt>
                <c:pt idx="10">
                  <c:v>21610</c:v>
                </c:pt>
                <c:pt idx="11">
                  <c:v>22351</c:v>
                </c:pt>
                <c:pt idx="12">
                  <c:v>23116</c:v>
                </c:pt>
                <c:pt idx="13">
                  <c:v>24015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85-43D5-A627-8D5793DBF8F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Počet odběrných míst zapojených do sdílení (EANo)</c:v>
                </c:pt>
              </c:strCache>
            </c:strRef>
          </c:tx>
          <c:spPr>
            <a:solidFill>
              <a:schemeClr val="accent6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64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List1!$A$2:$A$15</c:f>
              <c:strCache>
                <c:ptCount val="14"/>
                <c:pt idx="0">
                  <c:v>I.25</c:v>
                </c:pt>
                <c:pt idx="1">
                  <c:v>II.25</c:v>
                </c:pt>
                <c:pt idx="2">
                  <c:v>III.25</c:v>
                </c:pt>
                <c:pt idx="3">
                  <c:v>IV.25</c:v>
                </c:pt>
                <c:pt idx="4">
                  <c:v>V.25</c:v>
                </c:pt>
                <c:pt idx="5">
                  <c:v>VI.25</c:v>
                </c:pt>
                <c:pt idx="6">
                  <c:v>VII.25</c:v>
                </c:pt>
                <c:pt idx="7">
                  <c:v>VIII.25</c:v>
                </c:pt>
                <c:pt idx="8">
                  <c:v>IX.25</c:v>
                </c:pt>
                <c:pt idx="9">
                  <c:v>X.25</c:v>
                </c:pt>
                <c:pt idx="10">
                  <c:v>XI.25</c:v>
                </c:pt>
                <c:pt idx="11">
                  <c:v>XII.25</c:v>
                </c:pt>
                <c:pt idx="12">
                  <c:v>I.26</c:v>
                </c:pt>
                <c:pt idx="13">
                  <c:v>II.26</c:v>
                </c:pt>
              </c:strCache>
            </c:strRef>
          </c:cat>
          <c:val>
            <c:numRef>
              <c:f>List1!$C$2:$C$15</c:f>
              <c:numCache>
                <c:formatCode>#,##0</c:formatCode>
                <c:ptCount val="14"/>
                <c:pt idx="0">
                  <c:v>7933</c:v>
                </c:pt>
                <c:pt idx="1">
                  <c:v>10106</c:v>
                </c:pt>
                <c:pt idx="2">
                  <c:v>12742</c:v>
                </c:pt>
                <c:pt idx="3">
                  <c:v>15549</c:v>
                </c:pt>
                <c:pt idx="4">
                  <c:v>18675</c:v>
                </c:pt>
                <c:pt idx="5">
                  <c:v>21806</c:v>
                </c:pt>
                <c:pt idx="6">
                  <c:v>25029</c:v>
                </c:pt>
                <c:pt idx="7">
                  <c:v>28503</c:v>
                </c:pt>
                <c:pt idx="8">
                  <c:v>31206</c:v>
                </c:pt>
                <c:pt idx="9">
                  <c:v>33753</c:v>
                </c:pt>
                <c:pt idx="10">
                  <c:v>35771</c:v>
                </c:pt>
                <c:pt idx="11">
                  <c:v>37491</c:v>
                </c:pt>
                <c:pt idx="12">
                  <c:v>38640</c:v>
                </c:pt>
                <c:pt idx="13">
                  <c:v>39909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85-43D5-A627-8D5793DBF8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53507535"/>
        <c:axId val="453510415"/>
      </c:barChart>
      <c:catAx>
        <c:axId val="4535075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spc="12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3510415"/>
        <c:crosses val="autoZero"/>
        <c:auto val="1"/>
        <c:lblAlgn val="ctr"/>
        <c:lblOffset val="100"/>
        <c:noMultiLvlLbl val="1"/>
      </c:catAx>
      <c:valAx>
        <c:axId val="453510415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4535075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64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1064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064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D8CC-EA89-4065-BB68-4DE8CC2DEF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59abcf-d282-4bb6-9046-b11f6155e673}" enabled="1" method="Privileged" siteId="{5a599c86-6e50-4562-81a7-1b85777f7d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Dolana</dc:creator>
  <cp:keywords/>
  <dc:description/>
  <cp:lastModifiedBy>Hammer Garik</cp:lastModifiedBy>
  <cp:revision>7</cp:revision>
  <cp:lastPrinted>2026-03-09T07:59:00Z</cp:lastPrinted>
  <dcterms:created xsi:type="dcterms:W3CDTF">2026-04-01T07:40:00Z</dcterms:created>
  <dcterms:modified xsi:type="dcterms:W3CDTF">2026-04-01T11:25:00Z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#000000,10,Default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18a7de8b-b835-422f-923b-5fb336473959_Enabled">
    <vt:lpwstr>true</vt:lpwstr>
  </property>
  <property fmtid="{D5CDD505-2E9C-101B-9397-08002B2CF9AE}" pid="6" name="MSIP_Label_18a7de8b-b835-422f-923b-5fb336473959_SetDate">
    <vt:lpwstr>2024-03-12T14:38:58Z</vt:lpwstr>
  </property>
  <property fmtid="{D5CDD505-2E9C-101B-9397-08002B2CF9AE}" pid="7" name="MSIP_Label_18a7de8b-b835-422f-923b-5fb336473959_Method">
    <vt:lpwstr>Privileged</vt:lpwstr>
  </property>
  <property fmtid="{D5CDD505-2E9C-101B-9397-08002B2CF9AE}" pid="8" name="MSIP_Label_18a7de8b-b835-422f-923b-5fb336473959_Name">
    <vt:lpwstr>L00023</vt:lpwstr>
  </property>
  <property fmtid="{D5CDD505-2E9C-101B-9397-08002B2CF9AE}" pid="9" name="MSIP_Label_18a7de8b-b835-422f-923b-5fb336473959_SiteId">
    <vt:lpwstr>b233f9e1-5599-4693-9cef-38858fe25406</vt:lpwstr>
  </property>
  <property fmtid="{D5CDD505-2E9C-101B-9397-08002B2CF9AE}" pid="10" name="MSIP_Label_18a7de8b-b835-422f-923b-5fb336473959_ActionId">
    <vt:lpwstr>b3adfab0-bf87-450c-b79e-c8214fab07e1</vt:lpwstr>
  </property>
  <property fmtid="{D5CDD505-2E9C-101B-9397-08002B2CF9AE}" pid="11" name="MSIP_Label_18a7de8b-b835-422f-923b-5fb336473959_ContentBits">
    <vt:lpwstr>1</vt:lpwstr>
  </property>
  <property fmtid="{D5CDD505-2E9C-101B-9397-08002B2CF9AE}" pid="12" name="ClassificationContentMarkingFooterShapeIds">
    <vt:lpwstr>2e2698c2,616caaf3,2a400268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Klasifikace: Veřejné</vt:lpwstr>
  </property>
</Properties>
</file>